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09BA2" w14:textId="731C223C" w:rsidR="005748E2" w:rsidRDefault="004B2E2B">
      <w:pPr>
        <w:pStyle w:val="Title"/>
        <w:rPr>
          <w:rFonts w:ascii="Book Antiqua" w:hAnsi="Book Antiqua" w:cs="Arial"/>
          <w:b w:val="0"/>
          <w:bCs w:val="0"/>
          <w:sz w:val="32"/>
          <w:szCs w:val="32"/>
        </w:rPr>
      </w:pPr>
      <w:r>
        <w:rPr>
          <w:rFonts w:ascii="Book Antiqua" w:hAnsi="Book Antiqua" w:cs="Arial"/>
          <w:b w:val="0"/>
          <w:bCs w:val="0"/>
          <w:sz w:val="32"/>
          <w:szCs w:val="32"/>
        </w:rPr>
        <w:t>T</w:t>
      </w:r>
      <w:r w:rsidR="00EA528C">
        <w:rPr>
          <w:rFonts w:ascii="Book Antiqua" w:hAnsi="Book Antiqua" w:cs="Arial"/>
          <w:b w:val="0"/>
          <w:bCs w:val="0"/>
          <w:sz w:val="32"/>
          <w:szCs w:val="32"/>
          <w:lang w:val="en-US"/>
        </w:rPr>
        <w:t>he</w:t>
      </w:r>
      <w:r w:rsidR="008A1040">
        <w:rPr>
          <w:rFonts w:ascii="Book Antiqua" w:hAnsi="Book Antiqua" w:cs="Arial"/>
          <w:b w:val="0"/>
          <w:bCs w:val="0"/>
          <w:sz w:val="32"/>
          <w:szCs w:val="32"/>
        </w:rPr>
        <w:t xml:space="preserve"> i</w:t>
      </w:r>
      <w:r w:rsidR="00EA528C">
        <w:rPr>
          <w:rFonts w:ascii="Book Antiqua" w:hAnsi="Book Antiqua" w:cs="Arial"/>
          <w:b w:val="0"/>
          <w:bCs w:val="0"/>
          <w:sz w:val="32"/>
          <w:szCs w:val="32"/>
          <w:lang w:val="en-US"/>
        </w:rPr>
        <w:t>nfluence</w:t>
      </w:r>
      <w:r w:rsidR="008A1040">
        <w:rPr>
          <w:rFonts w:ascii="Book Antiqua" w:hAnsi="Book Antiqua" w:cs="Arial"/>
          <w:b w:val="0"/>
          <w:bCs w:val="0"/>
          <w:sz w:val="32"/>
          <w:szCs w:val="32"/>
        </w:rPr>
        <w:t xml:space="preserve"> o</w:t>
      </w:r>
      <w:r w:rsidR="00EA528C">
        <w:rPr>
          <w:rFonts w:ascii="Book Antiqua" w:hAnsi="Book Antiqua" w:cs="Arial"/>
          <w:b w:val="0"/>
          <w:bCs w:val="0"/>
          <w:sz w:val="32"/>
          <w:szCs w:val="32"/>
          <w:lang w:val="en-US"/>
        </w:rPr>
        <w:t>f</w:t>
      </w:r>
      <w:r w:rsidR="008A1040">
        <w:rPr>
          <w:rFonts w:ascii="Book Antiqua" w:hAnsi="Book Antiqua" w:cs="Arial"/>
          <w:b w:val="0"/>
          <w:bCs w:val="0"/>
          <w:sz w:val="32"/>
          <w:szCs w:val="32"/>
        </w:rPr>
        <w:t xml:space="preserve"> p</w:t>
      </w:r>
      <w:r w:rsidR="00EA528C">
        <w:rPr>
          <w:rFonts w:ascii="Book Antiqua" w:hAnsi="Book Antiqua" w:cs="Arial"/>
          <w:b w:val="0"/>
          <w:bCs w:val="0"/>
          <w:sz w:val="32"/>
          <w:szCs w:val="32"/>
          <w:lang w:val="en-US"/>
        </w:rPr>
        <w:t>romotional</w:t>
      </w:r>
      <w:r w:rsidR="008A1040">
        <w:rPr>
          <w:rFonts w:ascii="Book Antiqua" w:hAnsi="Book Antiqua" w:cs="Arial"/>
          <w:b w:val="0"/>
          <w:bCs w:val="0"/>
          <w:sz w:val="32"/>
          <w:szCs w:val="32"/>
        </w:rPr>
        <w:t xml:space="preserve"> c</w:t>
      </w:r>
      <w:r w:rsidR="00EA528C">
        <w:rPr>
          <w:rFonts w:ascii="Book Antiqua" w:hAnsi="Book Antiqua" w:cs="Arial"/>
          <w:b w:val="0"/>
          <w:bCs w:val="0"/>
          <w:sz w:val="32"/>
          <w:szCs w:val="32"/>
          <w:lang w:val="en-US"/>
        </w:rPr>
        <w:t>osts</w:t>
      </w:r>
      <w:r w:rsidR="008A1040">
        <w:rPr>
          <w:rFonts w:ascii="Book Antiqua" w:hAnsi="Book Antiqua" w:cs="Arial"/>
          <w:b w:val="0"/>
          <w:bCs w:val="0"/>
          <w:sz w:val="32"/>
          <w:szCs w:val="32"/>
        </w:rPr>
        <w:t xml:space="preserve"> o</w:t>
      </w:r>
      <w:r w:rsidR="00EA528C">
        <w:rPr>
          <w:rFonts w:ascii="Book Antiqua" w:hAnsi="Book Antiqua" w:cs="Arial"/>
          <w:b w:val="0"/>
          <w:bCs w:val="0"/>
          <w:sz w:val="32"/>
          <w:szCs w:val="32"/>
          <w:lang w:val="en-US"/>
        </w:rPr>
        <w:t>n</w:t>
      </w:r>
      <w:r w:rsidR="008A1040">
        <w:rPr>
          <w:rFonts w:ascii="Book Antiqua" w:hAnsi="Book Antiqua" w:cs="Arial"/>
          <w:b w:val="0"/>
          <w:bCs w:val="0"/>
          <w:sz w:val="32"/>
          <w:szCs w:val="32"/>
        </w:rPr>
        <w:t xml:space="preserve"> t</w:t>
      </w:r>
      <w:r w:rsidR="00EA528C">
        <w:rPr>
          <w:rFonts w:ascii="Book Antiqua" w:hAnsi="Book Antiqua" w:cs="Arial"/>
          <w:b w:val="0"/>
          <w:bCs w:val="0"/>
          <w:sz w:val="32"/>
          <w:szCs w:val="32"/>
          <w:lang w:val="en-US"/>
        </w:rPr>
        <w:t>hird</w:t>
      </w:r>
      <w:r w:rsidR="008A1040">
        <w:rPr>
          <w:rFonts w:ascii="Book Antiqua" w:hAnsi="Book Antiqua" w:cs="Arial"/>
          <w:b w:val="0"/>
          <w:bCs w:val="0"/>
          <w:sz w:val="32"/>
          <w:szCs w:val="32"/>
        </w:rPr>
        <w:t xml:space="preserve"> p</w:t>
      </w:r>
      <w:r w:rsidR="00EA528C">
        <w:rPr>
          <w:rFonts w:ascii="Book Antiqua" w:hAnsi="Book Antiqua" w:cs="Arial"/>
          <w:b w:val="0"/>
          <w:bCs w:val="0"/>
          <w:sz w:val="32"/>
          <w:szCs w:val="32"/>
          <w:lang w:val="en-US"/>
        </w:rPr>
        <w:t>arty</w:t>
      </w:r>
      <w:r w:rsidR="008A1040">
        <w:rPr>
          <w:rFonts w:ascii="Book Antiqua" w:hAnsi="Book Antiqua" w:cs="Arial"/>
          <w:b w:val="0"/>
          <w:bCs w:val="0"/>
          <w:sz w:val="32"/>
          <w:szCs w:val="32"/>
        </w:rPr>
        <w:t xml:space="preserve"> f</w:t>
      </w:r>
      <w:r w:rsidR="00EA528C">
        <w:rPr>
          <w:rFonts w:ascii="Book Antiqua" w:hAnsi="Book Antiqua" w:cs="Arial"/>
          <w:b w:val="0"/>
          <w:bCs w:val="0"/>
          <w:sz w:val="32"/>
          <w:szCs w:val="32"/>
          <w:lang w:val="en-US"/>
        </w:rPr>
        <w:t>inds</w:t>
      </w:r>
      <w:r>
        <w:rPr>
          <w:rFonts w:ascii="Book Antiqua" w:hAnsi="Book Antiqua" w:cs="Arial"/>
          <w:b w:val="0"/>
          <w:bCs w:val="0"/>
          <w:sz w:val="32"/>
          <w:szCs w:val="32"/>
        </w:rPr>
        <w:t xml:space="preserve"> </w:t>
      </w:r>
      <w:r w:rsidR="008A1040">
        <w:rPr>
          <w:rFonts w:ascii="Book Antiqua" w:hAnsi="Book Antiqua" w:cs="Arial"/>
          <w:b w:val="0"/>
          <w:bCs w:val="0"/>
          <w:sz w:val="32"/>
          <w:szCs w:val="32"/>
          <w:lang w:val="en-US"/>
        </w:rPr>
        <w:t>at</w:t>
      </w:r>
      <w:r w:rsidR="008A1040">
        <w:rPr>
          <w:rFonts w:ascii="Book Antiqua" w:hAnsi="Book Antiqua" w:cs="Arial"/>
          <w:b w:val="0"/>
          <w:bCs w:val="0"/>
          <w:sz w:val="32"/>
          <w:szCs w:val="32"/>
        </w:rPr>
        <w:t xml:space="preserve"> PT. </w:t>
      </w:r>
      <w:r>
        <w:rPr>
          <w:rFonts w:ascii="Book Antiqua" w:hAnsi="Book Antiqua" w:cs="Arial"/>
          <w:b w:val="0"/>
          <w:bCs w:val="0"/>
          <w:sz w:val="32"/>
          <w:szCs w:val="32"/>
        </w:rPr>
        <w:t>B</w:t>
      </w:r>
      <w:r w:rsidR="00DB6F43" w:rsidRPr="008A1040">
        <w:rPr>
          <w:rFonts w:ascii="Book Antiqua" w:hAnsi="Book Antiqua" w:cs="Arial"/>
          <w:b w:val="0"/>
          <w:bCs w:val="0"/>
          <w:sz w:val="32"/>
          <w:szCs w:val="32"/>
        </w:rPr>
        <w:t>ank</w:t>
      </w:r>
      <w:r w:rsidR="008A1040">
        <w:rPr>
          <w:rFonts w:ascii="Book Antiqua" w:hAnsi="Book Antiqua" w:cs="Arial"/>
          <w:b w:val="0"/>
          <w:bCs w:val="0"/>
          <w:sz w:val="32"/>
          <w:szCs w:val="32"/>
        </w:rPr>
        <w:t xml:space="preserve"> BRI S</w:t>
      </w:r>
      <w:r w:rsidR="008A1040" w:rsidRPr="008A1040">
        <w:rPr>
          <w:rFonts w:ascii="Book Antiqua" w:hAnsi="Book Antiqua" w:cs="Arial"/>
          <w:b w:val="0"/>
          <w:bCs w:val="0"/>
          <w:sz w:val="32"/>
          <w:szCs w:val="32"/>
        </w:rPr>
        <w:t>yariah</w:t>
      </w:r>
      <w:r w:rsidR="008A1040">
        <w:rPr>
          <w:rFonts w:ascii="Book Antiqua" w:hAnsi="Book Antiqua" w:cs="Arial"/>
          <w:b w:val="0"/>
          <w:bCs w:val="0"/>
          <w:sz w:val="32"/>
          <w:szCs w:val="32"/>
        </w:rPr>
        <w:t xml:space="preserve"> I</w:t>
      </w:r>
      <w:r w:rsidR="008A1040" w:rsidRPr="008A1040">
        <w:rPr>
          <w:rFonts w:ascii="Book Antiqua" w:hAnsi="Book Antiqua" w:cs="Arial"/>
          <w:b w:val="0"/>
          <w:bCs w:val="0"/>
          <w:sz w:val="32"/>
          <w:szCs w:val="32"/>
        </w:rPr>
        <w:t>ndonesia</w:t>
      </w:r>
    </w:p>
    <w:p w14:paraId="4FAF8B96" w14:textId="4C7F701C" w:rsidR="006F3CDF" w:rsidRDefault="006F3CDF" w:rsidP="006F3CDF">
      <w:pPr>
        <w:spacing w:before="240"/>
        <w:jc w:val="center"/>
        <w:rPr>
          <w:rFonts w:ascii="Book Antiqua" w:hAnsi="Book Antiqua" w:cs="Arial"/>
          <w:b/>
          <w:bCs/>
        </w:rPr>
      </w:pPr>
      <w:r>
        <w:rPr>
          <w:rFonts w:ascii="Book Antiqua" w:hAnsi="Book Antiqua" w:cs="Arial"/>
          <w:b/>
          <w:bCs/>
        </w:rPr>
        <w:t>Hieronimus Erwin Indrawan</w:t>
      </w:r>
      <w:r>
        <w:rPr>
          <w:rFonts w:ascii="Book Antiqua" w:hAnsi="Book Antiqua" w:cs="Arial"/>
          <w:b/>
          <w:bCs/>
          <w:vertAlign w:val="superscript"/>
        </w:rPr>
        <w:t>1</w:t>
      </w:r>
      <w:r>
        <w:rPr>
          <w:rFonts w:ascii="Book Antiqua" w:hAnsi="Book Antiqua" w:cs="Arial"/>
          <w:b/>
          <w:bCs/>
        </w:rPr>
        <w:t>, Suci Dwi Purwati</w:t>
      </w:r>
      <w:r>
        <w:rPr>
          <w:rFonts w:ascii="Book Antiqua" w:hAnsi="Book Antiqua" w:cs="Arial"/>
          <w:b/>
          <w:bCs/>
          <w:vertAlign w:val="superscript"/>
        </w:rPr>
        <w:t>2</w:t>
      </w:r>
      <w:r>
        <w:rPr>
          <w:rFonts w:ascii="Book Antiqua" w:hAnsi="Book Antiqua" w:cs="Arial"/>
          <w:b/>
          <w:bCs/>
        </w:rPr>
        <w:t>, Amalia Tresna Fadhilah</w:t>
      </w:r>
      <w:r>
        <w:rPr>
          <w:rFonts w:ascii="Book Antiqua" w:hAnsi="Book Antiqua" w:cs="Arial"/>
          <w:b/>
          <w:bCs/>
          <w:vertAlign w:val="superscript"/>
        </w:rPr>
        <w:t>3</w:t>
      </w:r>
      <w:r>
        <w:rPr>
          <w:rFonts w:ascii="Book Antiqua" w:hAnsi="Book Antiqua" w:cs="Arial"/>
          <w:b/>
          <w:bCs/>
        </w:rPr>
        <w:t xml:space="preserve">, </w:t>
      </w:r>
      <w:r>
        <w:rPr>
          <w:b/>
          <w:bCs/>
        </w:rPr>
        <w:t>Yudha Febri Al Paksi</w:t>
      </w:r>
      <w:r>
        <w:rPr>
          <w:rFonts w:ascii="Book Antiqua" w:hAnsi="Book Antiqua" w:cs="Arial"/>
          <w:b/>
          <w:bCs/>
          <w:vertAlign w:val="superscript"/>
        </w:rPr>
        <w:t>4</w:t>
      </w:r>
      <w:r>
        <w:rPr>
          <w:rFonts w:ascii="Book Antiqua" w:hAnsi="Book Antiqua" w:cs="Arial"/>
          <w:b/>
          <w:bCs/>
        </w:rPr>
        <w:t xml:space="preserve">, </w:t>
      </w:r>
      <w:r w:rsidR="00370206">
        <w:rPr>
          <w:b/>
          <w:bCs/>
        </w:rPr>
        <w:t>Woro Dwi Hartanty</w:t>
      </w:r>
      <w:r>
        <w:rPr>
          <w:b/>
          <w:bCs/>
          <w:vertAlign w:val="superscript"/>
        </w:rPr>
        <w:t>5</w:t>
      </w:r>
    </w:p>
    <w:p w14:paraId="28D3CA01" w14:textId="44D5FF58" w:rsidR="00D300EA" w:rsidRPr="006F3CDF" w:rsidRDefault="00761E51" w:rsidP="006F3CDF">
      <w:pPr>
        <w:spacing w:after="240"/>
        <w:jc w:val="center"/>
        <w:rPr>
          <w:rFonts w:ascii="Book Antiqua" w:hAnsi="Book Antiqua" w:cs="Arial"/>
          <w:sz w:val="18"/>
          <w:szCs w:val="18"/>
        </w:rPr>
      </w:pPr>
      <w:r>
        <w:rPr>
          <w:rFonts w:ascii="Book Antiqua" w:hAnsi="Book Antiqua" w:cs="Arial"/>
          <w:sz w:val="18"/>
          <w:szCs w:val="18"/>
          <w:vertAlign w:val="superscript"/>
        </w:rPr>
        <w:t xml:space="preserve">1,2,3,4,5 </w:t>
      </w:r>
      <w:r>
        <w:rPr>
          <w:rFonts w:ascii="Book Antiqua" w:hAnsi="Book Antiqua" w:cs="Arial"/>
          <w:sz w:val="18"/>
          <w:szCs w:val="18"/>
        </w:rPr>
        <w:t>Fakultas Ekonomi dan Bisnis,</w:t>
      </w:r>
      <w:r w:rsidR="006F3CDF" w:rsidRPr="00761E51">
        <w:rPr>
          <w:rFonts w:ascii="Book Antiqua" w:hAnsi="Book Antiqua" w:cs="Arial"/>
          <w:sz w:val="18"/>
          <w:szCs w:val="18"/>
        </w:rPr>
        <w:t>Universitas</w:t>
      </w:r>
      <w:r w:rsidR="006F3CDF">
        <w:rPr>
          <w:rFonts w:ascii="Book Antiqua" w:hAnsi="Book Antiqua" w:cs="Arial"/>
          <w:sz w:val="18"/>
          <w:szCs w:val="18"/>
          <w:vertAlign w:val="superscript"/>
        </w:rPr>
        <w:t xml:space="preserve"> </w:t>
      </w:r>
      <w:r w:rsidR="006F3CDF">
        <w:rPr>
          <w:rFonts w:ascii="Book Antiqua" w:hAnsi="Book Antiqua" w:cs="Arial"/>
          <w:sz w:val="18"/>
          <w:szCs w:val="18"/>
        </w:rPr>
        <w:t>Bina Sarana Informatika, Jakarta, Indonesia</w:t>
      </w:r>
    </w:p>
    <w:tbl>
      <w:tblPr>
        <w:tblStyle w:val="TableGrid"/>
        <w:tblW w:w="8789" w:type="dxa"/>
        <w:tblLook w:val="04A0" w:firstRow="1" w:lastRow="0" w:firstColumn="1" w:lastColumn="0" w:noHBand="0" w:noVBand="1"/>
      </w:tblPr>
      <w:tblGrid>
        <w:gridCol w:w="2802"/>
        <w:gridCol w:w="283"/>
        <w:gridCol w:w="5704"/>
      </w:tblGrid>
      <w:tr w:rsidR="005748E2" w14:paraId="5E9ABE8B" w14:textId="77777777">
        <w:trPr>
          <w:trHeight w:val="397"/>
        </w:trPr>
        <w:tc>
          <w:tcPr>
            <w:tcW w:w="2802" w:type="dxa"/>
            <w:tcBorders>
              <w:top w:val="double" w:sz="4" w:space="0" w:color="auto"/>
              <w:left w:val="nil"/>
              <w:bottom w:val="single" w:sz="4" w:space="0" w:color="auto"/>
              <w:right w:val="nil"/>
            </w:tcBorders>
            <w:shd w:val="clear" w:color="auto" w:fill="auto"/>
            <w:vAlign w:val="center"/>
          </w:tcPr>
          <w:p w14:paraId="5FF9535D" w14:textId="77777777" w:rsidR="005748E2" w:rsidRDefault="004B2E2B">
            <w:pPr>
              <w:jc w:val="right"/>
              <w:rPr>
                <w:rFonts w:ascii="Book Antiqua" w:hAnsi="Book Antiqua" w:cs="Arial"/>
                <w:b/>
                <w:sz w:val="18"/>
                <w:szCs w:val="18"/>
              </w:rPr>
            </w:pPr>
            <w:r>
              <w:rPr>
                <w:rFonts w:ascii="Book Antiqua" w:hAnsi="Book Antiqua" w:cs="Arial"/>
                <w:b/>
                <w:sz w:val="18"/>
                <w:szCs w:val="18"/>
              </w:rPr>
              <w:t>A R T I C L E  I N F O</w:t>
            </w:r>
          </w:p>
        </w:tc>
        <w:tc>
          <w:tcPr>
            <w:tcW w:w="283" w:type="dxa"/>
            <w:tcBorders>
              <w:top w:val="double" w:sz="4" w:space="0" w:color="auto"/>
              <w:left w:val="nil"/>
              <w:bottom w:val="nil"/>
              <w:right w:val="nil"/>
            </w:tcBorders>
            <w:shd w:val="clear" w:color="auto" w:fill="auto"/>
            <w:vAlign w:val="center"/>
          </w:tcPr>
          <w:p w14:paraId="7B00102A" w14:textId="77777777" w:rsidR="005748E2" w:rsidRDefault="005748E2">
            <w:pPr>
              <w:rPr>
                <w:rFonts w:ascii="Book Antiqua" w:hAnsi="Book Antiqua" w:cs="Arial"/>
                <w:sz w:val="18"/>
                <w:szCs w:val="18"/>
              </w:rPr>
            </w:pPr>
          </w:p>
        </w:tc>
        <w:tc>
          <w:tcPr>
            <w:tcW w:w="5704" w:type="dxa"/>
            <w:tcBorders>
              <w:top w:val="double" w:sz="4" w:space="0" w:color="auto"/>
              <w:left w:val="nil"/>
              <w:bottom w:val="single" w:sz="4" w:space="0" w:color="auto"/>
              <w:right w:val="nil"/>
            </w:tcBorders>
            <w:shd w:val="clear" w:color="auto" w:fill="auto"/>
            <w:vAlign w:val="center"/>
          </w:tcPr>
          <w:p w14:paraId="4C79255A" w14:textId="77777777" w:rsidR="005748E2" w:rsidRDefault="004B2E2B">
            <w:pPr>
              <w:rPr>
                <w:rFonts w:ascii="Book Antiqua" w:hAnsi="Book Antiqua" w:cs="Arial"/>
                <w:color w:val="000000"/>
                <w:sz w:val="18"/>
                <w:szCs w:val="18"/>
              </w:rPr>
            </w:pPr>
            <w:r>
              <w:rPr>
                <w:rFonts w:ascii="Book Antiqua" w:hAnsi="Book Antiqua" w:cs="Arial"/>
                <w:b/>
                <w:bCs/>
                <w:iCs/>
                <w:color w:val="000000"/>
                <w:sz w:val="18"/>
                <w:szCs w:val="18"/>
              </w:rPr>
              <w:t>ABSTRACT</w:t>
            </w:r>
          </w:p>
        </w:tc>
      </w:tr>
      <w:tr w:rsidR="005748E2" w14:paraId="583964C0" w14:textId="77777777">
        <w:trPr>
          <w:trHeight w:val="1268"/>
        </w:trPr>
        <w:tc>
          <w:tcPr>
            <w:tcW w:w="2802" w:type="dxa"/>
            <w:tcBorders>
              <w:top w:val="single" w:sz="4" w:space="0" w:color="auto"/>
              <w:left w:val="nil"/>
              <w:bottom w:val="single" w:sz="4" w:space="0" w:color="auto"/>
              <w:right w:val="nil"/>
            </w:tcBorders>
            <w:shd w:val="clear" w:color="auto" w:fill="auto"/>
          </w:tcPr>
          <w:p w14:paraId="718CB3F5" w14:textId="77777777" w:rsidR="005748E2" w:rsidRDefault="004B2E2B">
            <w:pPr>
              <w:spacing w:before="120" w:after="120"/>
              <w:jc w:val="right"/>
              <w:rPr>
                <w:rFonts w:ascii="Book Antiqua" w:hAnsi="Book Antiqua" w:cs="Arial"/>
                <w:b/>
                <w:i/>
                <w:sz w:val="18"/>
                <w:szCs w:val="18"/>
              </w:rPr>
            </w:pPr>
            <w:r>
              <w:rPr>
                <w:rFonts w:ascii="Book Antiqua" w:hAnsi="Book Antiqua" w:cs="Arial"/>
                <w:b/>
                <w:i/>
                <w:sz w:val="18"/>
                <w:szCs w:val="18"/>
              </w:rPr>
              <w:t>Article history:</w:t>
            </w:r>
          </w:p>
          <w:p w14:paraId="44F1080E" w14:textId="77777777" w:rsidR="00DB5F5C" w:rsidRPr="00185ACD" w:rsidRDefault="00DB5F5C" w:rsidP="00DB5F5C">
            <w:pPr>
              <w:jc w:val="right"/>
              <w:rPr>
                <w:rFonts w:ascii="Book Antiqua" w:hAnsi="Book Antiqua" w:cs="Arial"/>
                <w:sz w:val="18"/>
                <w:szCs w:val="18"/>
              </w:rPr>
            </w:pPr>
            <w:r w:rsidRPr="00185ACD">
              <w:rPr>
                <w:rFonts w:ascii="Book Antiqua" w:hAnsi="Book Antiqua" w:cs="Arial"/>
                <w:sz w:val="18"/>
                <w:szCs w:val="18"/>
              </w:rPr>
              <w:t xml:space="preserve">Received </w:t>
            </w:r>
            <w:r>
              <w:rPr>
                <w:rFonts w:ascii="Book Antiqua" w:hAnsi="Book Antiqua" w:cs="Arial"/>
                <w:sz w:val="18"/>
                <w:szCs w:val="18"/>
              </w:rPr>
              <w:t>Apr 02, 2023</w:t>
            </w:r>
          </w:p>
          <w:p w14:paraId="6DCEE8EF" w14:textId="77777777" w:rsidR="00DB5F5C" w:rsidRPr="00185ACD" w:rsidRDefault="00DB5F5C" w:rsidP="00DB5F5C">
            <w:pPr>
              <w:jc w:val="right"/>
              <w:rPr>
                <w:rFonts w:ascii="Book Antiqua" w:hAnsi="Book Antiqua" w:cs="Arial"/>
                <w:sz w:val="18"/>
                <w:szCs w:val="18"/>
              </w:rPr>
            </w:pPr>
            <w:r w:rsidRPr="00185ACD">
              <w:rPr>
                <w:rFonts w:ascii="Book Antiqua" w:hAnsi="Book Antiqua" w:cs="Arial"/>
                <w:sz w:val="18"/>
                <w:szCs w:val="18"/>
              </w:rPr>
              <w:t>Revised</w:t>
            </w:r>
            <w:r>
              <w:rPr>
                <w:rFonts w:ascii="Book Antiqua" w:hAnsi="Book Antiqua" w:cs="Arial"/>
                <w:sz w:val="18"/>
                <w:szCs w:val="18"/>
              </w:rPr>
              <w:t xml:space="preserve"> Apr 16, 2023</w:t>
            </w:r>
            <w:r w:rsidRPr="00185ACD">
              <w:rPr>
                <w:rFonts w:ascii="Book Antiqua" w:hAnsi="Book Antiqua" w:cs="Arial"/>
                <w:sz w:val="18"/>
                <w:szCs w:val="18"/>
              </w:rPr>
              <w:t xml:space="preserve"> </w:t>
            </w:r>
          </w:p>
          <w:p w14:paraId="03A457F5" w14:textId="35CB0F96" w:rsidR="005748E2" w:rsidRDefault="00DB5F5C" w:rsidP="00DB5F5C">
            <w:pPr>
              <w:jc w:val="right"/>
              <w:rPr>
                <w:rFonts w:ascii="Book Antiqua" w:hAnsi="Book Antiqua" w:cs="Arial"/>
                <w:sz w:val="18"/>
                <w:szCs w:val="18"/>
              </w:rPr>
            </w:pPr>
            <w:r w:rsidRPr="00185ACD">
              <w:rPr>
                <w:rFonts w:ascii="Book Antiqua" w:hAnsi="Book Antiqua" w:cs="Arial"/>
                <w:sz w:val="18"/>
                <w:szCs w:val="18"/>
              </w:rPr>
              <w:t>Accepted</w:t>
            </w:r>
            <w:r>
              <w:rPr>
                <w:rFonts w:ascii="Book Antiqua" w:hAnsi="Book Antiqua" w:cs="Arial"/>
                <w:sz w:val="18"/>
                <w:szCs w:val="18"/>
              </w:rPr>
              <w:t xml:space="preserve"> Apr 30, 2023</w:t>
            </w:r>
          </w:p>
        </w:tc>
        <w:tc>
          <w:tcPr>
            <w:tcW w:w="283" w:type="dxa"/>
            <w:vMerge w:val="restart"/>
            <w:tcBorders>
              <w:top w:val="nil"/>
              <w:left w:val="nil"/>
              <w:bottom w:val="nil"/>
              <w:right w:val="nil"/>
            </w:tcBorders>
            <w:shd w:val="clear" w:color="auto" w:fill="auto"/>
          </w:tcPr>
          <w:p w14:paraId="52CF124B" w14:textId="77777777" w:rsidR="005748E2" w:rsidRDefault="005748E2">
            <w:pPr>
              <w:spacing w:before="120"/>
              <w:jc w:val="both"/>
              <w:rPr>
                <w:rFonts w:ascii="Book Antiqua" w:hAnsi="Book Antiqua" w:cs="Arial"/>
                <w:sz w:val="18"/>
                <w:szCs w:val="18"/>
              </w:rPr>
            </w:pPr>
          </w:p>
        </w:tc>
        <w:tc>
          <w:tcPr>
            <w:tcW w:w="5704" w:type="dxa"/>
            <w:vMerge w:val="restart"/>
            <w:tcBorders>
              <w:top w:val="single" w:sz="4" w:space="0" w:color="auto"/>
              <w:left w:val="nil"/>
              <w:bottom w:val="nil"/>
              <w:right w:val="nil"/>
            </w:tcBorders>
            <w:shd w:val="clear" w:color="auto" w:fill="auto"/>
          </w:tcPr>
          <w:p w14:paraId="6CFD9B3D" w14:textId="77777777" w:rsidR="005748E2" w:rsidRDefault="004B2E2B">
            <w:pPr>
              <w:spacing w:before="120"/>
              <w:jc w:val="both"/>
              <w:rPr>
                <w:rFonts w:ascii="Book Antiqua" w:hAnsi="Book Antiqua" w:cs="Arial"/>
                <w:sz w:val="18"/>
                <w:szCs w:val="18"/>
              </w:rPr>
            </w:pPr>
            <w:r>
              <w:rPr>
                <w:rFonts w:ascii="Book Antiqua" w:hAnsi="Book Antiqua" w:cs="Arial"/>
                <w:bCs/>
                <w:iCs/>
                <w:color w:val="000000"/>
                <w:sz w:val="18"/>
                <w:szCs w:val="18"/>
              </w:rPr>
              <w:t>Banks receive a lot of funds from the public in the form of deposits, both in the form of Savings, Deposits, and other forms of savings offered by the Bank through the "Promotion" program carried out by the Bank. This study aims</w:t>
            </w:r>
            <w:bookmarkStart w:id="0" w:name="_GoBack"/>
            <w:bookmarkEnd w:id="0"/>
            <w:r>
              <w:rPr>
                <w:rFonts w:ascii="Book Antiqua" w:hAnsi="Book Antiqua" w:cs="Arial"/>
                <w:bCs/>
                <w:iCs/>
                <w:color w:val="000000"/>
                <w:sz w:val="18"/>
                <w:szCs w:val="18"/>
              </w:rPr>
              <w:t xml:space="preserve"> to find a relationship between Promotional Expenses incurred and the amount of Funds received from customers called Third Party Funds (DPK). In this case, as an example, we use data from Bank BRI Syariah Indonesia for the 2016 – 2020 period. statistical analysis of correlation, determination, and regression assisted by the IBM SPSS version 22 program. The results of data processing show an R2 value of 0.038% indicating that Promotional Costs have an effect on Third Party Funds of 0.0038%, the remaining 0.0038% is influenced by other factors that are not present in this study. Meanwhile, the regression equation that is formed is Ŷ = 26,705,681.242 + 203,726X indicating that if promotion costs increase, third party funds will also increase. The F test results obtained a Sig value of 0.133 greater than 0.05 (Sig. &gt; 0.05). Judging from the results of processing the data based on the results of the regression equation, Promotional Costs have a positive effect on Third Party Funds. However, if we look at the results of the R2 value, the effect is only 0.038%, the rest is influenced by other factors outside this study. Meanwhile, if you look at the results of the F test with the Sig. 0.133 is greater than 0.05 (Sig. &gt; 0.05) so the Promotional Costs have no significant effect on Third Party Funds. So it can be concluded that the purpose of Promotional Fees is not to invite customers to save their funds at Bank BRI Syariah Indonesia. This can raise questions for Bank BRISyariah for what purpose the Promotion is carried out.</w:t>
            </w:r>
          </w:p>
        </w:tc>
      </w:tr>
      <w:tr w:rsidR="005748E2" w14:paraId="3314BF56" w14:textId="77777777">
        <w:trPr>
          <w:trHeight w:val="1231"/>
        </w:trPr>
        <w:tc>
          <w:tcPr>
            <w:tcW w:w="2802" w:type="dxa"/>
            <w:vMerge w:val="restart"/>
            <w:tcBorders>
              <w:top w:val="single" w:sz="4" w:space="0" w:color="auto"/>
              <w:left w:val="nil"/>
              <w:bottom w:val="single" w:sz="4" w:space="0" w:color="auto"/>
              <w:right w:val="nil"/>
            </w:tcBorders>
            <w:shd w:val="clear" w:color="auto" w:fill="auto"/>
          </w:tcPr>
          <w:p w14:paraId="2CDB01AD" w14:textId="77777777" w:rsidR="005748E2" w:rsidRDefault="004B2E2B">
            <w:pPr>
              <w:spacing w:before="120" w:after="120"/>
              <w:jc w:val="right"/>
              <w:rPr>
                <w:rFonts w:ascii="Book Antiqua" w:hAnsi="Book Antiqua" w:cs="Arial"/>
                <w:b/>
                <w:i/>
                <w:sz w:val="18"/>
                <w:szCs w:val="18"/>
              </w:rPr>
            </w:pPr>
            <w:r>
              <w:rPr>
                <w:rFonts w:ascii="Book Antiqua" w:hAnsi="Book Antiqua" w:cs="Arial"/>
                <w:b/>
                <w:i/>
                <w:sz w:val="18"/>
                <w:szCs w:val="18"/>
              </w:rPr>
              <w:t>Keywords:</w:t>
            </w:r>
          </w:p>
          <w:p w14:paraId="522E2114" w14:textId="1C3007D3" w:rsidR="00DB5F5C" w:rsidRPr="00DB5F5C" w:rsidRDefault="00DB5F5C" w:rsidP="00DB5F5C">
            <w:pPr>
              <w:jc w:val="right"/>
              <w:rPr>
                <w:rFonts w:ascii="Book Antiqua" w:hAnsi="Book Antiqua" w:cs="Arial"/>
                <w:b/>
                <w:i/>
                <w:sz w:val="18"/>
                <w:szCs w:val="18"/>
              </w:rPr>
            </w:pPr>
            <w:r>
              <w:rPr>
                <w:rFonts w:ascii="Bookman Old Style" w:hAnsi="Bookman Old Style" w:cs="Arial"/>
                <w:bCs/>
                <w:sz w:val="18"/>
                <w:szCs w:val="18"/>
              </w:rPr>
              <w:t>Bank BRI;</w:t>
            </w:r>
          </w:p>
          <w:p w14:paraId="68DC2136" w14:textId="6B70317B" w:rsidR="005748E2" w:rsidRDefault="004B2E2B">
            <w:pPr>
              <w:jc w:val="right"/>
              <w:rPr>
                <w:rFonts w:ascii="Bookman Old Style" w:hAnsi="Bookman Old Style" w:cs="Arial"/>
                <w:bCs/>
                <w:sz w:val="18"/>
                <w:szCs w:val="18"/>
              </w:rPr>
            </w:pPr>
            <w:r>
              <w:rPr>
                <w:rFonts w:ascii="Bookman Old Style" w:hAnsi="Bookman Old Style" w:cs="Arial"/>
                <w:bCs/>
                <w:sz w:val="18"/>
                <w:szCs w:val="18"/>
              </w:rPr>
              <w:t>Promotional</w:t>
            </w:r>
            <w:r w:rsidR="00DB5F5C">
              <w:rPr>
                <w:rFonts w:ascii="Bookman Old Style" w:hAnsi="Bookman Old Style" w:cs="Arial"/>
                <w:bCs/>
                <w:sz w:val="18"/>
                <w:szCs w:val="18"/>
              </w:rPr>
              <w:t xml:space="preserve"> Costs;</w:t>
            </w:r>
            <w:r>
              <w:rPr>
                <w:rFonts w:ascii="Bookman Old Style" w:hAnsi="Bookman Old Style" w:cs="Arial"/>
                <w:bCs/>
                <w:sz w:val="18"/>
                <w:szCs w:val="18"/>
              </w:rPr>
              <w:t xml:space="preserve"> </w:t>
            </w:r>
          </w:p>
          <w:p w14:paraId="5FF30CE0" w14:textId="0F95AEEF" w:rsidR="005748E2" w:rsidRDefault="00DB5F5C">
            <w:pPr>
              <w:jc w:val="right"/>
              <w:rPr>
                <w:rFonts w:ascii="Bookman Old Style" w:hAnsi="Bookman Old Style" w:cs="Arial"/>
                <w:bCs/>
                <w:sz w:val="18"/>
                <w:szCs w:val="18"/>
              </w:rPr>
            </w:pPr>
            <w:r>
              <w:rPr>
                <w:rFonts w:ascii="Bookman Old Style" w:hAnsi="Bookman Old Style" w:cs="Arial"/>
                <w:bCs/>
                <w:sz w:val="18"/>
                <w:szCs w:val="18"/>
              </w:rPr>
              <w:t>Third Party Funds;</w:t>
            </w:r>
            <w:r w:rsidR="004B2E2B">
              <w:rPr>
                <w:rFonts w:ascii="Bookman Old Style" w:hAnsi="Bookman Old Style" w:cs="Arial"/>
                <w:bCs/>
                <w:sz w:val="18"/>
                <w:szCs w:val="18"/>
              </w:rPr>
              <w:t xml:space="preserve"> </w:t>
            </w:r>
          </w:p>
          <w:p w14:paraId="1B951759" w14:textId="77777777" w:rsidR="005748E2" w:rsidRDefault="005748E2" w:rsidP="00DB5F5C">
            <w:pPr>
              <w:jc w:val="right"/>
              <w:rPr>
                <w:rFonts w:ascii="Book Antiqua" w:hAnsi="Book Antiqua" w:cs="Arial"/>
                <w:b/>
                <w:i/>
                <w:sz w:val="18"/>
                <w:szCs w:val="18"/>
              </w:rPr>
            </w:pPr>
          </w:p>
        </w:tc>
        <w:tc>
          <w:tcPr>
            <w:tcW w:w="283" w:type="dxa"/>
            <w:vMerge/>
            <w:tcBorders>
              <w:top w:val="nil"/>
              <w:left w:val="nil"/>
              <w:bottom w:val="nil"/>
              <w:right w:val="nil"/>
            </w:tcBorders>
            <w:shd w:val="clear" w:color="auto" w:fill="auto"/>
          </w:tcPr>
          <w:p w14:paraId="41AD7E35" w14:textId="77777777" w:rsidR="005748E2" w:rsidRDefault="005748E2">
            <w:pPr>
              <w:spacing w:before="120"/>
              <w:jc w:val="both"/>
              <w:rPr>
                <w:rFonts w:ascii="Book Antiqua" w:hAnsi="Book Antiqua" w:cs="Arial"/>
                <w:sz w:val="18"/>
                <w:szCs w:val="18"/>
              </w:rPr>
            </w:pPr>
          </w:p>
        </w:tc>
        <w:tc>
          <w:tcPr>
            <w:tcW w:w="5704" w:type="dxa"/>
            <w:vMerge/>
            <w:tcBorders>
              <w:top w:val="nil"/>
              <w:left w:val="nil"/>
              <w:bottom w:val="nil"/>
              <w:right w:val="nil"/>
            </w:tcBorders>
            <w:shd w:val="clear" w:color="auto" w:fill="auto"/>
          </w:tcPr>
          <w:p w14:paraId="37CF9F08" w14:textId="77777777" w:rsidR="005748E2" w:rsidRDefault="005748E2">
            <w:pPr>
              <w:spacing w:before="120"/>
              <w:jc w:val="both"/>
              <w:rPr>
                <w:rFonts w:ascii="Book Antiqua" w:hAnsi="Book Antiqua" w:cs="Arial"/>
                <w:iCs/>
                <w:color w:val="000000"/>
                <w:sz w:val="18"/>
                <w:szCs w:val="18"/>
              </w:rPr>
            </w:pPr>
          </w:p>
        </w:tc>
      </w:tr>
      <w:tr w:rsidR="005748E2" w14:paraId="33875052" w14:textId="77777777">
        <w:trPr>
          <w:trHeight w:val="70"/>
        </w:trPr>
        <w:tc>
          <w:tcPr>
            <w:tcW w:w="2802" w:type="dxa"/>
            <w:vMerge/>
            <w:tcBorders>
              <w:top w:val="single" w:sz="4" w:space="0" w:color="auto"/>
              <w:left w:val="nil"/>
              <w:bottom w:val="single" w:sz="4" w:space="0" w:color="auto"/>
              <w:right w:val="nil"/>
            </w:tcBorders>
            <w:shd w:val="clear" w:color="auto" w:fill="auto"/>
          </w:tcPr>
          <w:p w14:paraId="3DFD2062" w14:textId="77777777" w:rsidR="005748E2" w:rsidRDefault="005748E2">
            <w:pPr>
              <w:spacing w:before="120" w:after="120"/>
              <w:jc w:val="both"/>
              <w:rPr>
                <w:rFonts w:ascii="Book Antiqua" w:hAnsi="Book Antiqua" w:cs="Arial"/>
                <w:b/>
                <w:i/>
                <w:sz w:val="18"/>
                <w:szCs w:val="18"/>
              </w:rPr>
            </w:pPr>
          </w:p>
        </w:tc>
        <w:tc>
          <w:tcPr>
            <w:tcW w:w="283" w:type="dxa"/>
            <w:vMerge/>
            <w:tcBorders>
              <w:top w:val="nil"/>
              <w:left w:val="nil"/>
              <w:bottom w:val="nil"/>
              <w:right w:val="nil"/>
            </w:tcBorders>
            <w:shd w:val="clear" w:color="auto" w:fill="auto"/>
          </w:tcPr>
          <w:p w14:paraId="32D016C9" w14:textId="77777777" w:rsidR="005748E2" w:rsidRDefault="005748E2">
            <w:pPr>
              <w:spacing w:before="120"/>
              <w:jc w:val="both"/>
              <w:rPr>
                <w:rFonts w:ascii="Book Antiqua" w:hAnsi="Book Antiqua" w:cs="Arial"/>
                <w:sz w:val="18"/>
                <w:szCs w:val="18"/>
              </w:rPr>
            </w:pPr>
          </w:p>
        </w:tc>
        <w:tc>
          <w:tcPr>
            <w:tcW w:w="5704" w:type="dxa"/>
            <w:tcBorders>
              <w:top w:val="nil"/>
              <w:left w:val="nil"/>
              <w:bottom w:val="single" w:sz="4" w:space="0" w:color="auto"/>
              <w:right w:val="nil"/>
            </w:tcBorders>
            <w:shd w:val="clear" w:color="auto" w:fill="auto"/>
          </w:tcPr>
          <w:p w14:paraId="7406E5EC" w14:textId="77777777" w:rsidR="005748E2" w:rsidRDefault="004B2E2B">
            <w:pPr>
              <w:spacing w:before="120"/>
              <w:jc w:val="right"/>
              <w:rPr>
                <w:rFonts w:ascii="Book Antiqua" w:hAnsi="Book Antiqua" w:cs="Arial"/>
                <w:i/>
                <w:iCs/>
                <w:color w:val="000000"/>
                <w:sz w:val="18"/>
                <w:szCs w:val="18"/>
              </w:rPr>
            </w:pPr>
            <w:r>
              <w:rPr>
                <w:rFonts w:ascii="Book Antiqua" w:hAnsi="Book Antiqua" w:cs="Arial"/>
                <w:i/>
                <w:iCs/>
                <w:color w:val="000000"/>
                <w:sz w:val="18"/>
                <w:szCs w:val="18"/>
              </w:rPr>
              <w:t xml:space="preserve">This is an open access article under the </w:t>
            </w:r>
            <w:hyperlink r:id="rId9" w:history="1">
              <w:r>
                <w:rPr>
                  <w:rStyle w:val="Hyperlink"/>
                  <w:rFonts w:ascii="Book Antiqua" w:hAnsi="Book Antiqua" w:cs="Arial"/>
                  <w:i/>
                  <w:iCs/>
                  <w:sz w:val="18"/>
                  <w:szCs w:val="18"/>
                  <w:u w:val="none"/>
                </w:rPr>
                <w:t>CC BY-NC</w:t>
              </w:r>
            </w:hyperlink>
            <w:r>
              <w:rPr>
                <w:rFonts w:ascii="Book Antiqua" w:hAnsi="Book Antiqua" w:cs="Arial"/>
                <w:i/>
                <w:iCs/>
                <w:color w:val="000000"/>
                <w:sz w:val="18"/>
                <w:szCs w:val="18"/>
              </w:rPr>
              <w:t xml:space="preserve"> license.</w:t>
            </w:r>
          </w:p>
          <w:p w14:paraId="47AF84D2" w14:textId="77777777" w:rsidR="005748E2" w:rsidRDefault="004B2E2B">
            <w:pPr>
              <w:spacing w:after="120"/>
              <w:jc w:val="right"/>
              <w:rPr>
                <w:rFonts w:ascii="Book Antiqua" w:hAnsi="Book Antiqua" w:cs="Arial"/>
                <w:i/>
                <w:iCs/>
                <w:color w:val="000000"/>
                <w:sz w:val="18"/>
                <w:szCs w:val="18"/>
              </w:rPr>
            </w:pPr>
            <w:r>
              <w:rPr>
                <w:rFonts w:ascii="Book Antiqua" w:hAnsi="Book Antiqua" w:cs="Arial"/>
                <w:i/>
                <w:iCs/>
                <w:noProof/>
                <w:color w:val="000000"/>
                <w:sz w:val="18"/>
                <w:szCs w:val="18"/>
              </w:rPr>
              <w:drawing>
                <wp:inline distT="0" distB="0" distL="0" distR="0" wp14:anchorId="13CFF2E2" wp14:editId="2BA57369">
                  <wp:extent cx="652489" cy="228600"/>
                  <wp:effectExtent l="0" t="0" r="0" b="0"/>
                  <wp:docPr id="1026"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0" cstate="print"/>
                          <a:srcRect/>
                          <a:stretch/>
                        </pic:blipFill>
                        <pic:spPr>
                          <a:xfrm>
                            <a:off x="0" y="0"/>
                            <a:ext cx="652489" cy="228600"/>
                          </a:xfrm>
                          <a:prstGeom prst="rect">
                            <a:avLst/>
                          </a:prstGeom>
                          <a:ln>
                            <a:noFill/>
                          </a:ln>
                        </pic:spPr>
                      </pic:pic>
                    </a:graphicData>
                  </a:graphic>
                </wp:inline>
              </w:drawing>
            </w:r>
          </w:p>
        </w:tc>
      </w:tr>
      <w:tr w:rsidR="005748E2" w:rsidRPr="008A1040" w14:paraId="0C80FABC" w14:textId="77777777">
        <w:tc>
          <w:tcPr>
            <w:tcW w:w="8789" w:type="dxa"/>
            <w:gridSpan w:val="3"/>
            <w:tcBorders>
              <w:top w:val="nil"/>
              <w:left w:val="nil"/>
              <w:bottom w:val="double" w:sz="4" w:space="0" w:color="auto"/>
              <w:right w:val="nil"/>
            </w:tcBorders>
            <w:shd w:val="clear" w:color="auto" w:fill="auto"/>
          </w:tcPr>
          <w:p w14:paraId="69212012" w14:textId="77777777" w:rsidR="005748E2" w:rsidRDefault="004B2E2B">
            <w:pPr>
              <w:spacing w:before="120" w:after="120"/>
              <w:rPr>
                <w:rFonts w:ascii="Book Antiqua" w:hAnsi="Book Antiqua" w:cs="Arial"/>
                <w:b/>
                <w:i/>
                <w:sz w:val="18"/>
                <w:szCs w:val="18"/>
                <w:lang w:val="sv-SE"/>
              </w:rPr>
            </w:pPr>
            <w:r w:rsidRPr="008A1040">
              <w:rPr>
                <w:rFonts w:ascii="Book Antiqua" w:hAnsi="Book Antiqua" w:cs="Arial"/>
                <w:b/>
                <w:i/>
                <w:sz w:val="18"/>
                <w:szCs w:val="18"/>
                <w:lang w:val="sv-SE"/>
              </w:rPr>
              <w:t>Corresponding Author:</w:t>
            </w:r>
          </w:p>
          <w:p w14:paraId="7AD3D0A3" w14:textId="2AF7E6B7" w:rsidR="006F3CDF" w:rsidRPr="006F3CDF" w:rsidRDefault="006F3CDF" w:rsidP="006F3CDF">
            <w:pPr>
              <w:rPr>
                <w:rFonts w:ascii="Book Antiqua" w:hAnsi="Book Antiqua" w:cs="Arial"/>
                <w:iCs/>
                <w:sz w:val="18"/>
                <w:szCs w:val="18"/>
                <w:vertAlign w:val="superscript"/>
              </w:rPr>
            </w:pPr>
            <w:bookmarkStart w:id="1" w:name="_Hlk130048035"/>
            <w:r>
              <w:rPr>
                <w:rFonts w:ascii="Book Antiqua" w:hAnsi="Book Antiqua" w:cs="Arial"/>
                <w:iCs/>
                <w:sz w:val="18"/>
                <w:szCs w:val="18"/>
              </w:rPr>
              <w:t>Hieronimus Erwin Indrawan</w:t>
            </w:r>
            <w:bookmarkEnd w:id="1"/>
          </w:p>
          <w:p w14:paraId="035ACABC" w14:textId="77777777" w:rsidR="006F3CDF" w:rsidRDefault="006F3CDF" w:rsidP="006F3CDF">
            <w:pPr>
              <w:rPr>
                <w:rFonts w:ascii="Book Antiqua" w:hAnsi="Book Antiqua" w:cs="Arial"/>
                <w:iCs/>
                <w:sz w:val="18"/>
                <w:szCs w:val="18"/>
                <w:lang w:val="sv-SE"/>
              </w:rPr>
            </w:pPr>
            <w:r>
              <w:rPr>
                <w:rFonts w:ascii="Book Antiqua" w:hAnsi="Book Antiqua" w:cs="Arial"/>
                <w:iCs/>
                <w:sz w:val="18"/>
                <w:szCs w:val="18"/>
                <w:lang w:val="sv-SE"/>
              </w:rPr>
              <w:t xml:space="preserve">Fakultas Ekonomi dan Bisnis, </w:t>
            </w:r>
          </w:p>
          <w:p w14:paraId="589A3A7B" w14:textId="77777777" w:rsidR="006F3CDF" w:rsidRDefault="006F3CDF" w:rsidP="006F3CDF">
            <w:pPr>
              <w:rPr>
                <w:rFonts w:ascii="Book Antiqua" w:hAnsi="Book Antiqua" w:cs="Arial"/>
                <w:iCs/>
                <w:sz w:val="18"/>
                <w:szCs w:val="18"/>
                <w:lang w:val="sv-SE"/>
              </w:rPr>
            </w:pPr>
            <w:r>
              <w:rPr>
                <w:rFonts w:ascii="Book Antiqua" w:hAnsi="Book Antiqua" w:cs="Arial"/>
                <w:iCs/>
                <w:sz w:val="18"/>
                <w:szCs w:val="18"/>
                <w:lang w:val="sv-SE"/>
              </w:rPr>
              <w:t>Universitas Bina Sarana Informatika, Jakarta,</w:t>
            </w:r>
          </w:p>
          <w:p w14:paraId="2FA4BDA6" w14:textId="416B25E5" w:rsidR="006F3CDF" w:rsidRDefault="006F3CDF" w:rsidP="006F3CDF">
            <w:pPr>
              <w:rPr>
                <w:rFonts w:ascii="Book Antiqua" w:hAnsi="Book Antiqua" w:cs="Arial"/>
                <w:iCs/>
                <w:sz w:val="18"/>
                <w:szCs w:val="18"/>
                <w:lang w:val="sv-SE"/>
              </w:rPr>
            </w:pPr>
            <w:r w:rsidRPr="006F3CDF">
              <w:rPr>
                <w:rFonts w:ascii="Book Antiqua" w:hAnsi="Book Antiqua" w:cs="Arial"/>
                <w:iCs/>
                <w:sz w:val="18"/>
                <w:szCs w:val="18"/>
                <w:lang w:val="sv-SE"/>
              </w:rPr>
              <w:t>Jalan Kramat 18 10440 Jakarta Pusat Dki Jakarta</w:t>
            </w:r>
            <w:r>
              <w:rPr>
                <w:rFonts w:ascii="Book Antiqua" w:hAnsi="Book Antiqua" w:cs="Arial"/>
                <w:iCs/>
                <w:sz w:val="18"/>
                <w:szCs w:val="18"/>
                <w:lang w:val="sv-SE"/>
              </w:rPr>
              <w:t>,  Indonesia</w:t>
            </w:r>
          </w:p>
          <w:p w14:paraId="3B2EC67A" w14:textId="148855ED" w:rsidR="005748E2" w:rsidRPr="006F3CDF" w:rsidRDefault="006F3CDF" w:rsidP="006F3CDF">
            <w:pPr>
              <w:spacing w:after="120"/>
              <w:rPr>
                <w:rFonts w:ascii="Book Antiqua" w:hAnsi="Book Antiqua" w:cs="Arial"/>
                <w:iCs/>
                <w:sz w:val="18"/>
                <w:szCs w:val="18"/>
                <w:lang w:val="sv-SE"/>
              </w:rPr>
            </w:pPr>
            <w:r w:rsidRPr="006F3CDF">
              <w:rPr>
                <w:rFonts w:ascii="Book Antiqua" w:hAnsi="Book Antiqua"/>
              </w:rPr>
              <w:t>Email :</w:t>
            </w:r>
            <w:r w:rsidRPr="006F3CDF">
              <w:rPr>
                <w:rFonts w:ascii="Book Antiqua" w:hAnsi="Book Antiqua" w:cs="Arial"/>
                <w:iCs/>
                <w:sz w:val="18"/>
                <w:szCs w:val="18"/>
                <w:lang w:val="sv-SE"/>
              </w:rPr>
              <w:t>hieronimus.hei@bsi.ac.id</w:t>
            </w:r>
          </w:p>
        </w:tc>
      </w:tr>
    </w:tbl>
    <w:p w14:paraId="4B1FAB8E" w14:textId="0AA564E8" w:rsidR="005748E2" w:rsidRDefault="005748E2">
      <w:pPr>
        <w:tabs>
          <w:tab w:val="left" w:pos="426"/>
        </w:tabs>
        <w:jc w:val="center"/>
        <w:rPr>
          <w:rFonts w:ascii="Book Antiqua" w:hAnsi="Book Antiqua" w:cs="Arial"/>
          <w:sz w:val="32"/>
          <w:szCs w:val="32"/>
          <w:lang w:val="id-ID"/>
        </w:rPr>
      </w:pPr>
    </w:p>
    <w:p w14:paraId="19053557" w14:textId="77777777" w:rsidR="005748E2" w:rsidRDefault="004B2E2B">
      <w:pPr>
        <w:tabs>
          <w:tab w:val="left" w:pos="426"/>
        </w:tabs>
        <w:jc w:val="center"/>
        <w:rPr>
          <w:rFonts w:ascii="Book Antiqua" w:hAnsi="Book Antiqua" w:cs="Arial"/>
          <w:sz w:val="32"/>
          <w:szCs w:val="32"/>
          <w:lang w:val="id-ID"/>
        </w:rPr>
      </w:pPr>
      <w:r>
        <w:rPr>
          <w:rFonts w:ascii="Book Antiqua" w:hAnsi="Book Antiqua" w:cs="Arial"/>
          <w:sz w:val="32"/>
          <w:szCs w:val="32"/>
          <w:lang w:val="id-ID"/>
        </w:rPr>
        <w:t>INTRODUCTION</w:t>
      </w:r>
    </w:p>
    <w:p w14:paraId="77DBFA68" w14:textId="3D889AA1" w:rsidR="005748E2" w:rsidRPr="00DB5F5C" w:rsidRDefault="004B2E2B" w:rsidP="00A6714B">
      <w:pPr>
        <w:jc w:val="both"/>
        <w:rPr>
          <w:rFonts w:ascii="Book Antiqua" w:hAnsi="Book Antiqua" w:cs="Arial"/>
          <w:lang w:val="id-ID"/>
        </w:rPr>
      </w:pPr>
      <w:r w:rsidRPr="00DB5F5C">
        <w:rPr>
          <w:rFonts w:ascii="Book Antiqua" w:hAnsi="Book Antiqua" w:cs="Arial"/>
          <w:lang w:val="id-ID"/>
        </w:rPr>
        <w:t xml:space="preserve">The effect of promotion costs on third party funds at Bank BRI Syariah Indonesia is only 0.0038%. Third Party Funds (DPK), although not yet an income or income for the bank, is one of the </w:t>
      </w:r>
      <w:r w:rsidRPr="00DB5F5C">
        <w:rPr>
          <w:rFonts w:ascii="Book Antiqua" w:hAnsi="Book Antiqua" w:cs="Arial"/>
          <w:lang w:val="id-ID"/>
        </w:rPr>
        <w:lastRenderedPageBreak/>
        <w:t>operational objectives of a bank to raise as much funds as possible from the public. While the purpose of promotional costs is to increase the revenue of a company, so if it turns out that this is not achieved, it is necessary to question the promotion program carried out by a company. One way to find out the relationship between promotional costs incurred and Third Party Funds is to conduct research using the SPSS Analysis method.</w:t>
      </w:r>
    </w:p>
    <w:p w14:paraId="684636F2" w14:textId="27C74BB7" w:rsidR="00B26EEF" w:rsidRPr="00DB5F5C" w:rsidRDefault="00A6714B" w:rsidP="00B26EEF">
      <w:pPr>
        <w:jc w:val="both"/>
        <w:rPr>
          <w:rFonts w:ascii="Book Antiqua" w:hAnsi="Book Antiqua" w:cs="Arial"/>
          <w:lang w:val="id-ID"/>
        </w:rPr>
      </w:pPr>
      <w:r w:rsidRPr="00DB5F5C">
        <w:rPr>
          <w:rFonts w:ascii="Book Antiqua" w:hAnsi="Book Antiqua" w:cs="Arial"/>
          <w:lang w:val="id-ID"/>
        </w:rPr>
        <w:tab/>
      </w:r>
      <w:r w:rsidR="00B26EEF" w:rsidRPr="00DB5F5C">
        <w:rPr>
          <w:rFonts w:ascii="Book Antiqua" w:hAnsi="Book Antiqua" w:cs="Arial"/>
          <w:lang w:val="id-ID"/>
        </w:rPr>
        <w:t>In Islamic banks, sources of funds come from core capital and third party funds, which consist of wadiah and quasi equity funds (mudharabah accounts). This main capital functions to buffer and absorb bank failures or losses and protect the interests of deposit account holders (wadiah) or loans (qard)” (Dr. Sri Wahyuni, 2020).</w:t>
      </w:r>
    </w:p>
    <w:p w14:paraId="4D2263A3" w14:textId="2B39ED02" w:rsidR="005748E2" w:rsidRPr="00DB5F5C" w:rsidRDefault="004B2E2B" w:rsidP="00B26EEF">
      <w:pPr>
        <w:ind w:firstLine="720"/>
        <w:jc w:val="both"/>
        <w:rPr>
          <w:rFonts w:ascii="Book Antiqua" w:hAnsi="Book Antiqua" w:cs="Arial"/>
          <w:lang w:val="id-ID"/>
        </w:rPr>
      </w:pPr>
      <w:r w:rsidRPr="00DB5F5C">
        <w:rPr>
          <w:rFonts w:ascii="Book Antiqua" w:hAnsi="Book Antiqua" w:cs="Arial"/>
          <w:lang w:val="id-ID"/>
        </w:rPr>
        <w:t>In previous research (Indrawan &amp; Nainggolan, 2019) found that promotional costs, employee salary costs and interest costs simultaneously and partially (each) have a significant positive effect on net interest income at Permata bank. The method used is multiple regression analysis. The research was conducted based on Bank Permata's financial statements for 36 months obtained from the company's official web page. While in research with 3 variables (Indrawan &amp; Givan, 2018) the results obtained together Promotion Costs (X1), Cost of Funds (X2) have a significant effect on Third Party Funds (Y). However, what needs to be considered is that the effect of promotional costs is negative so that the company must make corrections to the company's promotion program.</w:t>
      </w:r>
    </w:p>
    <w:p w14:paraId="3B5547CC" w14:textId="77777777" w:rsidR="005748E2" w:rsidRPr="00DB5F5C" w:rsidRDefault="004B2E2B">
      <w:pPr>
        <w:ind w:firstLine="720"/>
        <w:jc w:val="both"/>
        <w:rPr>
          <w:rFonts w:ascii="Book Antiqua" w:hAnsi="Book Antiqua" w:cs="Arial"/>
          <w:lang w:val="id-ID"/>
        </w:rPr>
      </w:pPr>
      <w:r w:rsidRPr="00DB5F5C">
        <w:rPr>
          <w:rFonts w:ascii="Book Antiqua" w:hAnsi="Book Antiqua" w:cs="Arial"/>
          <w:lang w:val="id-ID"/>
        </w:rPr>
        <w:t xml:space="preserve">Judging from the 2 previous studies conducted at Bank Permata, Promotion Costs seen from Financial Statement data (Financial) do not have a big influence on Revenue or Third Party Funds. Therefore the authors try to conduct research at a different bank. This is not in accordance with the theory that promotional costs are incurred to increase revenue and sales, however, different results can be obtained if the research is conducted in trading companies or industry. In carrying out business activities, each company requires a certain amount of cost. According to Hubeis "Cost is an economic sacrifice activity needed to obtain a product of goods or services, or expenses that are done now in order to obtain benefits in the future where these expenses can be estimated and can be avoided using quantitative calculations" (Yuliawati, 2019). According to Hansen &amp; Maryane "Cost is cash or equivalent value sacrificed to obtain a product of goods or services that has the expectation of providing benefits to an organization or company. In a profit-oriented organization or company, the benefits used for the future are revenue. If the costs that generate revenue have been used, the costs used have expired. Costs that are used up are called expenses" (Indrawan &amp; Givan, 2019). From the above understanding, it can be concluded that "Costs are all expenses incurred by the company to increase the number of products, while expenses are all company expenses that are used to increase or increase product sales. This is the cost of promotion including expenses because it is incurred to increase sales (third party funds) while the cost of funds is included in the cost because it is incurred to pay third party funds received by the bank" (Indrawan &amp; Givan, 2019). To introduce new products to consumers, develop brand awareness of a product, convince consumers to buy their products and increase the number of sales of their products, companies can carry out various ways of carrying out promotional activities. According to Dane, Sukaatmadja and Budiasa "Promotion is a variety of activities carried out by companies to convey the superiority of their products and appoint target customers to buy them" (Yuliawati, 2019). Promotional activities can be carried out in various ways, there are four types according to Kotler &amp; Armstrong, namely "Advertising (adversiting), sales promotion, public relations, personal selling, and direct marketing" (Yuliawati, 2019). According to Saladin "Sales promotion is an effort to increase sales which has the aim of providing encouragement to consumer needs and can support increasing the value of sales in marketing. Therefore, promotional costs are costs used to support increasing the value of sales" (Indrawan &amp; Givan, 2019). According to Lupiyoudi "Sales promotion is any activity carried out to encourage an increase in the number of goods or services from producers to sales. The sales promotion carried out is to influence potential buyers by providing incentives or prizes that will be given in purchase </w:t>
      </w:r>
      <w:r w:rsidRPr="00DB5F5C">
        <w:rPr>
          <w:rFonts w:ascii="Book Antiqua" w:hAnsi="Book Antiqua" w:cs="Arial"/>
          <w:lang w:val="id-ID"/>
        </w:rPr>
        <w:lastRenderedPageBreak/>
        <w:t xml:space="preserve">transactions such as direct gifts, lottery coupons, discounts, and others" (Yuliawati, 2019). According to Cashmere "The definition of bank third party funds is the bank's effort to raise funds from the public" (Development &amp; Economics, 2018). </w:t>
      </w:r>
    </w:p>
    <w:p w14:paraId="10C904FF" w14:textId="408AE38A" w:rsidR="00957D42" w:rsidRPr="00DB5F5C" w:rsidRDefault="00957D42" w:rsidP="00957D42">
      <w:pPr>
        <w:ind w:firstLine="720"/>
        <w:jc w:val="both"/>
        <w:rPr>
          <w:rFonts w:ascii="Book Antiqua" w:hAnsi="Book Antiqua" w:cs="Arial"/>
          <w:lang w:val="id-ID"/>
        </w:rPr>
      </w:pPr>
      <w:r w:rsidRPr="00DB5F5C">
        <w:rPr>
          <w:rFonts w:ascii="Book Antiqua" w:hAnsi="Book Antiqua" w:cs="Arial"/>
          <w:lang w:val="id-ID"/>
        </w:rPr>
        <w:t>Billy Arma Pratama (2010) in his research tested the factors</w:t>
      </w:r>
      <w:r w:rsidRPr="00DB5F5C">
        <w:rPr>
          <w:rFonts w:ascii="Book Antiqua" w:hAnsi="Book Antiqua" w:cs="Arial"/>
        </w:rPr>
        <w:t xml:space="preserve"> </w:t>
      </w:r>
      <w:r w:rsidRPr="00DB5F5C">
        <w:rPr>
          <w:rFonts w:ascii="Book Antiqua" w:hAnsi="Book Antiqua" w:cs="Arial"/>
          <w:lang w:val="id-ID"/>
        </w:rPr>
        <w:t>Affecting Banking Credit Disbursement Policy. As for</w:t>
      </w:r>
      <w:r w:rsidRPr="00DB5F5C">
        <w:rPr>
          <w:rFonts w:ascii="Book Antiqua" w:hAnsi="Book Antiqua" w:cs="Arial"/>
        </w:rPr>
        <w:t xml:space="preserve"> </w:t>
      </w:r>
      <w:r w:rsidRPr="00DB5F5C">
        <w:rPr>
          <w:rFonts w:ascii="Book Antiqua" w:hAnsi="Book Antiqua" w:cs="Arial"/>
          <w:lang w:val="id-ID"/>
        </w:rPr>
        <w:t>independent variables include Third Party Funds (DPK), Capital</w:t>
      </w:r>
      <w:r w:rsidRPr="00DB5F5C">
        <w:rPr>
          <w:rFonts w:ascii="Book Antiqua" w:hAnsi="Book Antiqua" w:cs="Arial"/>
        </w:rPr>
        <w:t xml:space="preserve"> </w:t>
      </w:r>
      <w:r w:rsidRPr="00DB5F5C">
        <w:rPr>
          <w:rFonts w:ascii="Book Antiqua" w:hAnsi="Book Antiqua" w:cs="Arial"/>
          <w:lang w:val="id-ID"/>
        </w:rPr>
        <w:t>Adequacy Ratio (CAR), Non Performing Loans (NPL), and interest rates</w:t>
      </w:r>
      <w:r w:rsidRPr="00DB5F5C">
        <w:rPr>
          <w:rFonts w:ascii="Book Antiqua" w:hAnsi="Book Antiqua" w:cs="Arial"/>
        </w:rPr>
        <w:t xml:space="preserve"> </w:t>
      </w:r>
      <w:r w:rsidRPr="00DB5F5C">
        <w:rPr>
          <w:rFonts w:ascii="Book Antiqua" w:hAnsi="Book Antiqua" w:cs="Arial"/>
          <w:lang w:val="id-ID"/>
        </w:rPr>
        <w:t>Bank Indonesia Certificates (SBI). While the dependent variable Credit</w:t>
      </w:r>
      <w:r w:rsidRPr="00DB5F5C">
        <w:rPr>
          <w:rFonts w:ascii="Book Antiqua" w:hAnsi="Book Antiqua" w:cs="Arial"/>
        </w:rPr>
        <w:t xml:space="preserve"> </w:t>
      </w:r>
      <w:r w:rsidRPr="00DB5F5C">
        <w:rPr>
          <w:rFonts w:ascii="Book Antiqua" w:hAnsi="Book Antiqua" w:cs="Arial"/>
          <w:lang w:val="id-ID"/>
        </w:rPr>
        <w:t>Banking. The analysis technique used is linear regression analysis</w:t>
      </w:r>
      <w:r w:rsidRPr="00DB5F5C">
        <w:rPr>
          <w:rFonts w:ascii="Book Antiqua" w:hAnsi="Book Antiqua" w:cs="Arial"/>
        </w:rPr>
        <w:t xml:space="preserve"> </w:t>
      </w:r>
      <w:r w:rsidRPr="00DB5F5C">
        <w:rPr>
          <w:rFonts w:ascii="Book Antiqua" w:hAnsi="Book Antiqua" w:cs="Arial"/>
          <w:lang w:val="id-ID"/>
        </w:rPr>
        <w:t>double. The results of his research show that partially variable</w:t>
      </w:r>
      <w:r w:rsidRPr="00DB5F5C">
        <w:rPr>
          <w:rFonts w:ascii="Book Antiqua" w:hAnsi="Book Antiqua" w:cs="Arial"/>
        </w:rPr>
        <w:t xml:space="preserve"> </w:t>
      </w:r>
      <w:r w:rsidRPr="00DB5F5C">
        <w:rPr>
          <w:rFonts w:ascii="Book Antiqua" w:hAnsi="Book Antiqua" w:cs="Arial"/>
          <w:lang w:val="id-ID"/>
        </w:rPr>
        <w:t>DPK has a significant positive effect, CAR and NPL have an effect</w:t>
      </w:r>
      <w:r w:rsidRPr="00DB5F5C">
        <w:rPr>
          <w:rFonts w:ascii="Book Antiqua" w:hAnsi="Book Antiqua" w:cs="Arial"/>
        </w:rPr>
        <w:t xml:space="preserve"> </w:t>
      </w:r>
      <w:r w:rsidRPr="00DB5F5C">
        <w:rPr>
          <w:rFonts w:ascii="Book Antiqua" w:hAnsi="Book Antiqua" w:cs="Arial"/>
          <w:lang w:val="id-ID"/>
        </w:rPr>
        <w:t>significantly negative, SBI has no significant effect on the variable</w:t>
      </w:r>
      <w:r w:rsidRPr="00DB5F5C">
        <w:rPr>
          <w:rFonts w:ascii="Book Antiqua" w:hAnsi="Book Antiqua" w:cs="Arial"/>
        </w:rPr>
        <w:t xml:space="preserve"> </w:t>
      </w:r>
      <w:r w:rsidRPr="00DB5F5C">
        <w:rPr>
          <w:rFonts w:ascii="Book Antiqua" w:hAnsi="Book Antiqua" w:cs="Arial"/>
          <w:lang w:val="id-ID"/>
        </w:rPr>
        <w:t>credit.</w:t>
      </w:r>
    </w:p>
    <w:p w14:paraId="5E92B762" w14:textId="61011B39" w:rsidR="009E7374" w:rsidRPr="00DB5F5C" w:rsidRDefault="009E7374" w:rsidP="009E7374">
      <w:pPr>
        <w:ind w:firstLine="720"/>
        <w:jc w:val="both"/>
        <w:rPr>
          <w:rFonts w:ascii="Book Antiqua" w:hAnsi="Book Antiqua" w:cs="Arial"/>
          <w:lang w:val="id-ID"/>
        </w:rPr>
      </w:pPr>
      <w:r w:rsidRPr="00DB5F5C">
        <w:rPr>
          <w:rFonts w:ascii="Book Antiqua" w:hAnsi="Book Antiqua" w:cs="Arial"/>
          <w:lang w:val="id-ID"/>
        </w:rPr>
        <w:t>Elisa Puspitasari (2014), in her research entitled "Analysis</w:t>
      </w:r>
      <w:r w:rsidRPr="00DB5F5C">
        <w:rPr>
          <w:rFonts w:ascii="Book Antiqua" w:hAnsi="Book Antiqua" w:cs="Arial"/>
        </w:rPr>
        <w:t xml:space="preserve"> </w:t>
      </w:r>
      <w:r w:rsidRPr="00DB5F5C">
        <w:rPr>
          <w:rFonts w:ascii="Book Antiqua" w:hAnsi="Book Antiqua" w:cs="Arial"/>
          <w:lang w:val="id-ID"/>
        </w:rPr>
        <w:t>Factors Affecting Net Interest Margin at Banks</w:t>
      </w:r>
      <w:r w:rsidRPr="00DB5F5C">
        <w:rPr>
          <w:rFonts w:ascii="Book Antiqua" w:hAnsi="Book Antiqua" w:cs="Arial"/>
        </w:rPr>
        <w:t xml:space="preserve"> </w:t>
      </w:r>
      <w:r w:rsidRPr="00DB5F5C">
        <w:rPr>
          <w:rFonts w:ascii="Book Antiqua" w:hAnsi="Book Antiqua" w:cs="Arial"/>
          <w:lang w:val="id-ID"/>
        </w:rPr>
        <w:t>Common in Indonesia”. As for the independent variable is</w:t>
      </w:r>
      <w:r w:rsidRPr="00DB5F5C">
        <w:rPr>
          <w:rFonts w:ascii="Book Antiqua" w:hAnsi="Book Antiqua" w:cs="Arial"/>
        </w:rPr>
        <w:t xml:space="preserve"> </w:t>
      </w:r>
      <w:r w:rsidRPr="00DB5F5C">
        <w:rPr>
          <w:rFonts w:ascii="Book Antiqua" w:hAnsi="Book Antiqua" w:cs="Arial"/>
          <w:lang w:val="id-ID"/>
        </w:rPr>
        <w:t>the influence of credit risk, operational costs, risk overversion and volume</w:t>
      </w:r>
      <w:r w:rsidRPr="00DB5F5C">
        <w:rPr>
          <w:rFonts w:ascii="Book Antiqua" w:hAnsi="Book Antiqua" w:cs="Arial"/>
        </w:rPr>
        <w:t xml:space="preserve"> </w:t>
      </w:r>
      <w:r w:rsidRPr="00DB5F5C">
        <w:rPr>
          <w:rFonts w:ascii="Book Antiqua" w:hAnsi="Book Antiqua" w:cs="Arial"/>
          <w:lang w:val="id-ID"/>
        </w:rPr>
        <w:t>transactions, while the dependent variable is the net interest margin.</w:t>
      </w:r>
      <w:r w:rsidRPr="00DB5F5C">
        <w:rPr>
          <w:rFonts w:ascii="Book Antiqua" w:hAnsi="Book Antiqua" w:cs="Arial"/>
        </w:rPr>
        <w:t xml:space="preserve"> </w:t>
      </w:r>
      <w:r w:rsidRPr="00DB5F5C">
        <w:rPr>
          <w:rFonts w:ascii="Book Antiqua" w:hAnsi="Book Antiqua" w:cs="Arial"/>
          <w:lang w:val="id-ID"/>
        </w:rPr>
        <w:t>The analytical method used is Multiple Linear Regression Analysis</w:t>
      </w:r>
      <w:r w:rsidRPr="00DB5F5C">
        <w:rPr>
          <w:rFonts w:ascii="Book Antiqua" w:hAnsi="Book Antiqua" w:cs="Arial"/>
        </w:rPr>
        <w:t xml:space="preserve"> </w:t>
      </w:r>
      <w:r w:rsidRPr="00DB5F5C">
        <w:rPr>
          <w:rFonts w:ascii="Book Antiqua" w:hAnsi="Book Antiqua" w:cs="Arial"/>
          <w:lang w:val="id-ID"/>
        </w:rPr>
        <w:t>with the results of research on credit risk and risk overversion have no effect</w:t>
      </w:r>
      <w:r w:rsidRPr="00DB5F5C">
        <w:rPr>
          <w:rFonts w:ascii="Book Antiqua" w:hAnsi="Book Antiqua" w:cs="Arial"/>
        </w:rPr>
        <w:t xml:space="preserve"> </w:t>
      </w:r>
      <w:r w:rsidRPr="00DB5F5C">
        <w:rPr>
          <w:rFonts w:ascii="Book Antiqua" w:hAnsi="Book Antiqua" w:cs="Arial"/>
          <w:lang w:val="id-ID"/>
        </w:rPr>
        <w:t>on net interest margin, while credit risk and transaction volume</w:t>
      </w:r>
      <w:r w:rsidRPr="00DB5F5C">
        <w:rPr>
          <w:rFonts w:ascii="Book Antiqua" w:hAnsi="Book Antiqua" w:cs="Arial"/>
        </w:rPr>
        <w:t xml:space="preserve"> </w:t>
      </w:r>
      <w:r w:rsidRPr="00DB5F5C">
        <w:rPr>
          <w:rFonts w:ascii="Book Antiqua" w:hAnsi="Book Antiqua" w:cs="Arial"/>
          <w:lang w:val="id-ID"/>
        </w:rPr>
        <w:t>positive and significant effect on the net interest margin. Fourth</w:t>
      </w:r>
      <w:r w:rsidRPr="00DB5F5C">
        <w:rPr>
          <w:rFonts w:ascii="Book Antiqua" w:hAnsi="Book Antiqua" w:cs="Arial"/>
        </w:rPr>
        <w:t xml:space="preserve"> </w:t>
      </w:r>
      <w:r w:rsidRPr="00DB5F5C">
        <w:rPr>
          <w:rFonts w:ascii="Book Antiqua" w:hAnsi="Book Antiqua" w:cs="Arial"/>
          <w:lang w:val="id-ID"/>
        </w:rPr>
        <w:t>variables together have a significant and positive effect on</w:t>
      </w:r>
    </w:p>
    <w:p w14:paraId="2C73FD58" w14:textId="3D921766" w:rsidR="009E7374" w:rsidRPr="00DB5F5C" w:rsidRDefault="009E7374" w:rsidP="009E7374">
      <w:pPr>
        <w:jc w:val="both"/>
        <w:rPr>
          <w:rFonts w:ascii="Book Antiqua" w:hAnsi="Book Antiqua" w:cs="Arial"/>
          <w:lang w:val="id-ID"/>
        </w:rPr>
      </w:pPr>
      <w:r w:rsidRPr="00DB5F5C">
        <w:rPr>
          <w:rFonts w:ascii="Book Antiqua" w:hAnsi="Book Antiqua" w:cs="Arial"/>
          <w:lang w:val="id-ID"/>
        </w:rPr>
        <w:t>net interest margin.</w:t>
      </w:r>
    </w:p>
    <w:p w14:paraId="060AF723" w14:textId="5072D719" w:rsidR="00DA5B39" w:rsidRPr="00DB5F5C" w:rsidRDefault="00DA5B39" w:rsidP="00DA5B39">
      <w:pPr>
        <w:jc w:val="both"/>
        <w:rPr>
          <w:rFonts w:ascii="Book Antiqua" w:hAnsi="Book Antiqua" w:cs="Arial"/>
          <w:lang w:val="id-ID"/>
        </w:rPr>
      </w:pPr>
      <w:r w:rsidRPr="00DB5F5C">
        <w:rPr>
          <w:rFonts w:ascii="Book Antiqua" w:hAnsi="Book Antiqua" w:cs="Arial"/>
          <w:lang w:val="id-ID"/>
        </w:rPr>
        <w:tab/>
        <w:t>Puji Lestari (2009) in his research tested the Effect Effectiveness</w:t>
      </w:r>
      <w:r w:rsidRPr="00DB5F5C">
        <w:rPr>
          <w:rFonts w:ascii="Book Antiqua" w:hAnsi="Book Antiqua" w:cs="Arial"/>
        </w:rPr>
        <w:t xml:space="preserve"> </w:t>
      </w:r>
      <w:r w:rsidRPr="00DB5F5C">
        <w:rPr>
          <w:rFonts w:ascii="Book Antiqua" w:hAnsi="Book Antiqua" w:cs="Arial"/>
          <w:lang w:val="id-ID"/>
        </w:rPr>
        <w:t>Amount of Promotional Costs in Collecting Third Party Funds. As for</w:t>
      </w:r>
      <w:r w:rsidRPr="00DB5F5C">
        <w:rPr>
          <w:rFonts w:ascii="Book Antiqua" w:hAnsi="Book Antiqua" w:cs="Arial"/>
        </w:rPr>
        <w:t xml:space="preserve"> </w:t>
      </w:r>
      <w:r w:rsidRPr="00DB5F5C">
        <w:rPr>
          <w:rFonts w:ascii="Book Antiqua" w:hAnsi="Book Antiqua" w:cs="Arial"/>
          <w:lang w:val="id-ID"/>
        </w:rPr>
        <w:t>Promotion Costs as independent variables and Third Party Funds</w:t>
      </w:r>
    </w:p>
    <w:p w14:paraId="7080E59E" w14:textId="05E86358" w:rsidR="00DA5B39" w:rsidRPr="00DB5F5C" w:rsidRDefault="00DA5B39" w:rsidP="00DA5B39">
      <w:pPr>
        <w:jc w:val="both"/>
        <w:rPr>
          <w:rFonts w:ascii="Book Antiqua" w:hAnsi="Book Antiqua" w:cs="Arial"/>
          <w:color w:val="FF0000"/>
          <w:lang w:val="id-ID"/>
        </w:rPr>
      </w:pPr>
      <w:r w:rsidRPr="00DB5F5C">
        <w:rPr>
          <w:rFonts w:ascii="Book Antiqua" w:hAnsi="Book Antiqua" w:cs="Arial"/>
          <w:lang w:val="id-ID"/>
        </w:rPr>
        <w:t>as the dependent variable. The analysis technique used is</w:t>
      </w:r>
      <w:r w:rsidRPr="00DB5F5C">
        <w:rPr>
          <w:rFonts w:ascii="Book Antiqua" w:hAnsi="Book Antiqua" w:cs="Arial"/>
        </w:rPr>
        <w:t xml:space="preserve"> </w:t>
      </w:r>
      <w:r w:rsidRPr="00DB5F5C">
        <w:rPr>
          <w:rFonts w:ascii="Book Antiqua" w:hAnsi="Book Antiqua" w:cs="Arial"/>
          <w:lang w:val="id-ID"/>
        </w:rPr>
        <w:t>Regression analysis with the results of influential promotional costs research</w:t>
      </w:r>
      <w:r w:rsidRPr="00DB5F5C">
        <w:rPr>
          <w:rFonts w:ascii="Book Antiqua" w:hAnsi="Book Antiqua" w:cs="Arial"/>
        </w:rPr>
        <w:t xml:space="preserve"> </w:t>
      </w:r>
      <w:r w:rsidRPr="00DB5F5C">
        <w:rPr>
          <w:rFonts w:ascii="Book Antiqua" w:hAnsi="Book Antiqua" w:cs="Arial"/>
          <w:lang w:val="id-ID"/>
        </w:rPr>
        <w:t>significant and positive towards third party funds</w:t>
      </w:r>
      <w:r w:rsidRPr="00DB5F5C">
        <w:rPr>
          <w:rFonts w:ascii="Book Antiqua" w:hAnsi="Book Antiqua" w:cs="Arial"/>
          <w:color w:val="FF0000"/>
          <w:lang w:val="id-ID"/>
        </w:rPr>
        <w:t>.</w:t>
      </w:r>
    </w:p>
    <w:p w14:paraId="51B01FF2" w14:textId="58A7078B" w:rsidR="005748E2" w:rsidRPr="00DB5F5C" w:rsidRDefault="00DA5B39" w:rsidP="00DA5B39">
      <w:pPr>
        <w:jc w:val="both"/>
        <w:rPr>
          <w:rFonts w:ascii="Book Antiqua" w:hAnsi="Book Antiqua" w:cs="Arial"/>
          <w:lang w:val="id-ID"/>
        </w:rPr>
      </w:pPr>
      <w:r w:rsidRPr="00DB5F5C">
        <w:rPr>
          <w:rFonts w:ascii="Book Antiqua" w:hAnsi="Book Antiqua" w:cs="Arial"/>
          <w:color w:val="FF0000"/>
          <w:lang w:val="id-ID"/>
        </w:rPr>
        <w:tab/>
      </w:r>
      <w:r w:rsidR="004B2E2B" w:rsidRPr="00DB5F5C">
        <w:rPr>
          <w:rFonts w:ascii="Book Antiqua" w:hAnsi="Book Antiqua" w:cs="Arial"/>
          <w:lang w:val="id-ID"/>
        </w:rPr>
        <w:t xml:space="preserve">This source of funds is the most important source of funds in carrying out operational activities and becomes a standard value to assess the success of a bank if it has the ability to finance operational activities from this source of funds. "Third party funds are funds sourced from the community itself, meaning funds obtained from individuals or business entities that come from banks using various types of deposit products owned by the Bank" (Pratiwi, 2015). According to Rosida &amp; Muflihah "Banks have sources of funds originating from first party funds which are capital funds originating from their own capital, funds originating from second parties which are short-term loans or (call money), interbank loans, loans from non-bank financial institutions, loans from Bank Indonesia and funds from third parties, namely from current accounts, time deposits, savings" (Indrawan &amp; Givan, 2019). Islamic bank fund management is "an effort made by Islamic bank institutions in managing or managing the position of funds received from activities to raise funds from the public to be channeled to financial activities, with the intention that the relevant banks are still able to meet liquidity, profitability and solvency criteria" (Andrianto &amp; Dr. M. Anang Firmansyah, 2019). "In order to serve the community, especially the Muslim community, Islamic banks provide a variety of banking products in raising funds. The sources of funds themselves are from third party funds. Third Party Funds (DPK) are deposit funds (wadiah yad Dhomanah contract) and investment funds (mudharabah mutlaqah contract), issuance of securities such as certificates by Islamic banks and funds using ijarah contracts" (Ryandono &amp; Wahyudi, 2018). "In Islamic banks, the source of funds comes from core capital and third party funds, which consist of wadiah deposits and quasi-equity funds (mudharabah accounts). This main capital functions to buffer and absorb bank failures or losses and protect the interests of deposit (wadiah) or loan (qard) account holders" (Dr. Sri Wahyuni, 2020). Demand deposits have sharia principles regulated in fatwa No. 01/DSN-MUI/IV/2000 concerning demand deposits. Demand deposits are deposits based on wadiah contracts or other contracts that are not contrary to sharia principles whose withdrawals can be made at any time by using checks, bilyet giro, other means of payment, or by other payment orders or by book transfer orders. Current accounts that are justified by Sharia, namely current accounts based on the principles of Wadiah and Mudharabah (Andri </w:t>
      </w:r>
      <w:r w:rsidR="004B2E2B" w:rsidRPr="00DB5F5C">
        <w:rPr>
          <w:rFonts w:ascii="Book Antiqua" w:hAnsi="Book Antiqua" w:cs="Arial"/>
          <w:lang w:val="id-ID"/>
        </w:rPr>
        <w:lastRenderedPageBreak/>
        <w:t xml:space="preserve">Soemitra, 2017). In practice, the current account used in Islamic banking is a wadiah current account.  Based on the type, al-wadiah is divided into two types, namely Wadiah yad al-amanah, the deposit recipient must guard and maintain the entrusted goods and is not allowed to utilize them and return the entrusted goods when the goods are needed intact to the entrusted party. In Islamic banking, the product offered using the al-wadiah yad al-manah contract is a save deposit box, while Wadiah yad dhamanah the deposit recipient can utilize the entrusted goods. When the goods are returned, they must be intact. </w:t>
      </w:r>
    </w:p>
    <w:p w14:paraId="119D1C3D" w14:textId="472F3A7D" w:rsidR="005748E2" w:rsidRDefault="004B2E2B" w:rsidP="00DB5F5C">
      <w:pPr>
        <w:ind w:firstLine="720"/>
        <w:jc w:val="both"/>
        <w:rPr>
          <w:rFonts w:ascii="Book Antiqua" w:hAnsi="Book Antiqua" w:cs="Arial"/>
        </w:rPr>
      </w:pPr>
      <w:r w:rsidRPr="00DB5F5C">
        <w:rPr>
          <w:rFonts w:ascii="Book Antiqua" w:hAnsi="Book Antiqua" w:cs="Arial"/>
          <w:lang w:val="id-ID"/>
        </w:rPr>
        <w:t>The deposit recipient is permitted to provide rewards in the form of bonuses that are not agreed upon in advance (Drs. Ismail, MBA., 2017). National Sharia Council Fatwa No.02 DSN-MUI / IV / 2000 concerning Savings which regulates the sharia principles of savings. There are two types of savings, namely savings that are not justified by sharia, namely savings based on interest calculations and without interest based on sharia principles, namely Wadiah and Mudharabah (Andri Soemitra, 2017). Wadiah savings are a type of deposit that uses a wadiah / deposit contract whose withdrawals can be made according to the agreement (Drs. Ismail, MBA., 2017), meaning that this savings provides any benefit, because the deposited funds can be taken at any time through an independent cash platform using a passbook based on an agreement at the beginning besides that the owner of the funds and the bank are not allowed to promise rewards for the deposited object at the beginning. In the wadiah savings mechanism, the recipient of the deposited funds is the bank and the customer as the depositor of funds and the deposited funds can be taken at any time by the customer. Mudharabah savings are called muthlaqah contracts whose funds are collected by Islamic banks. Islamic banks act as mudharib, meaning fund managers and customers as shohibul maal. When opening a mudharabah savings account, there will be a profit sharing by the Islamic bank to the customer at the end of each month, in an amount according to the agreed ratio. This means that withdrawals by customers can only be made according to the agreed time (Drs. Ismail, MBA., 2017). Deposit deposits are the third type of deposits issued by banks as a place for customers to invest in the form of securities (Kasmir, 2016). Deposits based on Law No. 21 of 2008 are fund investments based on mudharabah contracts and other contracts whose withdrawals are only made at certain periods based on contracts between deposit customers and Islamic banks and / or Sharia Law (Drs</w:t>
      </w:r>
      <w:r>
        <w:rPr>
          <w:rFonts w:ascii="Book Antiqua" w:hAnsi="Book Antiqua" w:cs="Arial"/>
          <w:sz w:val="18"/>
          <w:szCs w:val="18"/>
          <w:lang w:val="id-ID"/>
        </w:rPr>
        <w:t xml:space="preserve">. </w:t>
      </w:r>
      <w:r w:rsidRPr="00DB5F5C">
        <w:rPr>
          <w:rFonts w:ascii="Book Antiqua" w:hAnsi="Book Antiqua" w:cs="Arial"/>
          <w:lang w:val="id-ID"/>
        </w:rPr>
        <w:t>Ismail, MBA., 2017).  Based on the Sharia Council Fatwa No. 03/DSN-MUI/IV/2000, deposits that are allowed in Islamic banks are deposits with the principle form of mudharabah contract (Andri Soemitra, 2017).</w:t>
      </w:r>
    </w:p>
    <w:p w14:paraId="79E39B08" w14:textId="77777777" w:rsidR="00DB5F5C" w:rsidRPr="00DB5F5C" w:rsidRDefault="00DB5F5C" w:rsidP="00DB5F5C">
      <w:pPr>
        <w:ind w:firstLine="720"/>
        <w:jc w:val="both"/>
        <w:rPr>
          <w:rFonts w:ascii="Book Antiqua" w:hAnsi="Book Antiqua" w:cs="Arial"/>
        </w:rPr>
      </w:pPr>
    </w:p>
    <w:p w14:paraId="5350F83F" w14:textId="77777777" w:rsidR="005748E2" w:rsidRDefault="004B2E2B">
      <w:pPr>
        <w:tabs>
          <w:tab w:val="left" w:pos="426"/>
        </w:tabs>
        <w:jc w:val="center"/>
        <w:rPr>
          <w:rFonts w:ascii="Book Antiqua" w:hAnsi="Book Antiqua" w:cs="Arial"/>
          <w:sz w:val="32"/>
          <w:szCs w:val="32"/>
          <w:lang w:val="id-ID"/>
        </w:rPr>
      </w:pPr>
      <w:r>
        <w:rPr>
          <w:rFonts w:ascii="Book Antiqua" w:hAnsi="Book Antiqua" w:cs="Arial"/>
          <w:sz w:val="32"/>
          <w:szCs w:val="32"/>
          <w:lang w:val="id-ID"/>
        </w:rPr>
        <w:t>RESEARCH METHOD</w:t>
      </w:r>
      <w:r>
        <w:rPr>
          <w:rFonts w:ascii="Book Antiqua" w:hAnsi="Book Antiqua" w:cs="Arial"/>
          <w:sz w:val="32"/>
          <w:szCs w:val="32"/>
        </w:rPr>
        <w:t xml:space="preserve"> </w:t>
      </w:r>
    </w:p>
    <w:p w14:paraId="6450698B" w14:textId="70E16EDA" w:rsidR="005748E2" w:rsidRPr="00DB5F5C" w:rsidRDefault="004B2E2B" w:rsidP="00DB5F5C">
      <w:pPr>
        <w:jc w:val="both"/>
        <w:rPr>
          <w:rFonts w:ascii="Book Antiqua" w:hAnsi="Book Antiqua"/>
          <w:noProof/>
          <w:lang w:val="id-ID" w:eastAsia="id-ID"/>
        </w:rPr>
      </w:pPr>
      <w:r w:rsidRPr="00DB5F5C">
        <w:rPr>
          <w:rFonts w:ascii="Book Antiqua" w:hAnsi="Book Antiqua"/>
          <w:noProof/>
          <w:lang w:val="id-ID" w:eastAsia="id-ID"/>
        </w:rPr>
        <w:t xml:space="preserve">The study used data from the financial statements of Bank BRI Syariah for the period 2016-2020 which can be obtained through the company's official web page. </w:t>
      </w:r>
      <w:r w:rsidR="003751AA" w:rsidRPr="00DB5F5C">
        <w:rPr>
          <w:rFonts w:ascii="Book Antiqua" w:hAnsi="Book Antiqua"/>
          <w:noProof/>
          <w:lang w:val="id-ID" w:eastAsia="id-ID"/>
        </w:rPr>
        <w:t>The financial report data can be downloaded, then recapitulated in msoffice excel for the Promotional Expenses and Third Party Funds accounts in the financial statements</w:t>
      </w:r>
      <w:r w:rsidR="003751AA" w:rsidRPr="00DB5F5C">
        <w:rPr>
          <w:rFonts w:ascii="Book Antiqua" w:hAnsi="Book Antiqua"/>
          <w:noProof/>
          <w:lang w:eastAsia="id-ID"/>
        </w:rPr>
        <w:t>. T</w:t>
      </w:r>
      <w:r w:rsidRPr="00DB5F5C">
        <w:rPr>
          <w:rFonts w:ascii="Book Antiqua" w:hAnsi="Book Antiqua"/>
          <w:noProof/>
          <w:lang w:val="id-ID" w:eastAsia="id-ID"/>
        </w:rPr>
        <w:t xml:space="preserve">he data is processed using the IBM SPSS version 22 program. </w:t>
      </w:r>
      <w:r w:rsidR="003751AA" w:rsidRPr="00DB5F5C">
        <w:rPr>
          <w:rFonts w:ascii="Book Antiqua" w:hAnsi="Book Antiqua"/>
          <w:noProof/>
          <w:lang w:val="id-ID" w:eastAsia="id-ID"/>
        </w:rPr>
        <w:t>Then the data is processed using the Linear Regression menu that already exists in the SPSS application</w:t>
      </w:r>
      <w:r w:rsidR="003751AA" w:rsidRPr="00DB5F5C">
        <w:rPr>
          <w:rFonts w:ascii="Book Antiqua" w:hAnsi="Book Antiqua"/>
          <w:noProof/>
          <w:lang w:eastAsia="id-ID"/>
        </w:rPr>
        <w:t xml:space="preserve">. </w:t>
      </w:r>
      <w:r w:rsidRPr="00DB5F5C">
        <w:rPr>
          <w:rFonts w:ascii="Book Antiqua" w:hAnsi="Book Antiqua"/>
          <w:noProof/>
          <w:lang w:val="id-ID" w:eastAsia="id-ID"/>
        </w:rPr>
        <w:t>The analysis used is correlation, determination and regression analysis.</w:t>
      </w:r>
    </w:p>
    <w:p w14:paraId="7BEDDF78" w14:textId="77777777" w:rsidR="005748E2" w:rsidRPr="00DB5F5C" w:rsidRDefault="004B2E2B">
      <w:pPr>
        <w:ind w:firstLine="720"/>
        <w:jc w:val="both"/>
        <w:rPr>
          <w:rFonts w:ascii="Book Antiqua" w:hAnsi="Book Antiqua"/>
          <w:noProof/>
          <w:lang w:val="id-ID" w:eastAsia="id-ID"/>
        </w:rPr>
      </w:pPr>
      <w:r w:rsidRPr="00DB5F5C">
        <w:rPr>
          <w:rFonts w:ascii="Book Antiqua" w:hAnsi="Book Antiqua"/>
          <w:noProof/>
          <w:lang w:val="id-ID" w:eastAsia="id-ID"/>
        </w:rPr>
        <w:t xml:space="preserve">One type of statistics regarding analysis and conclusions regarding the high and low relationship between two or more variables is called correlation statistics. According to Supardi, "correlation is a term used to measure the strength of the relationship between variables". (Dr. H. Fajri Ismail, 2018). "The level of correlation analysis relationship is characterized by combining the relationship between variables strong or weak, high or low. In measuring it, a correlation coefficient is needed with the symbol "r". (Dr. H. Fajri Ismail, 2018). To determine the degree of relationship used measurements, especially for quantitative data, are called correlation coefficients. "The coefficient of determination (KD) is a number that states or is used to determine the contribution or contribution given by one or more X (independent) variables to variable Y (bound)" (Ir. Syofian Siregar, 2017). </w:t>
      </w:r>
    </w:p>
    <w:p w14:paraId="6FA306F6" w14:textId="77777777" w:rsidR="005748E2" w:rsidRPr="00DB5F5C" w:rsidRDefault="004B2E2B">
      <w:pPr>
        <w:ind w:firstLine="720"/>
        <w:jc w:val="both"/>
        <w:rPr>
          <w:rFonts w:ascii="Book Antiqua" w:hAnsi="Book Antiqua"/>
          <w:noProof/>
          <w:lang w:val="id-ID" w:eastAsia="id-ID"/>
        </w:rPr>
      </w:pPr>
      <w:r w:rsidRPr="00DB5F5C">
        <w:rPr>
          <w:rFonts w:ascii="Book Antiqua" w:hAnsi="Book Antiqua"/>
          <w:noProof/>
          <w:lang w:val="id-ID" w:eastAsia="id-ID"/>
        </w:rPr>
        <w:lastRenderedPageBreak/>
        <w:t>According to Riana, the coefficient of "Determination (r2) is a regression model used to measure the level of fit or perfection of a variable. The equation for the coefficient of determination is as follows" (hidayah, 2019): KD = (r2) x 100%. For example r2 = 0.90 means that the estimated value of the regression obtained fulfills the model we want or 90% of the Y value is determined by the value of the X variable included in the model, while the other 10% is determined by other variables or outside the model. Important values in the output of the coefficient of determination in SPSS (model summary) According to Sarwono are as follows: a. The R squere number is said to be the determination number, the magnitude of the R squere ranges from 0-1, meaning that the smaller the R squere, the weaker the relationship between the two variables. But on the contrary, if R squere is closer to 1, then the relationship between the two variables is getting stronger. b. Standard Error of the estimate (SEE) value. A value related to the dependent variable that will be used to assess the feasibility of predictors (independent variables). If the predictor value used to predict the dependent variable is appropriate, the SEE value &lt; standard deviation value.</w:t>
      </w:r>
    </w:p>
    <w:p w14:paraId="5C4EFBAF" w14:textId="77777777" w:rsidR="005748E2" w:rsidRPr="00DB5F5C" w:rsidRDefault="004B2E2B">
      <w:pPr>
        <w:ind w:firstLine="720"/>
        <w:jc w:val="both"/>
        <w:rPr>
          <w:rFonts w:ascii="Book Antiqua" w:hAnsi="Book Antiqua"/>
          <w:noProof/>
          <w:lang w:val="id-ID" w:eastAsia="id-ID"/>
        </w:rPr>
      </w:pPr>
      <w:r w:rsidRPr="00DB5F5C">
        <w:rPr>
          <w:rFonts w:ascii="Book Antiqua" w:hAnsi="Book Antiqua"/>
          <w:noProof/>
          <w:lang w:val="id-ID" w:eastAsia="id-ID"/>
        </w:rPr>
        <w:t>Simple Linear Regression is "A relationship pattern that is a function where there is only one variable that determines or affects. The form of the relationship is Y = f (X), where Y is the predicted or affected variable (dependent variable) and X is the independent variable that affects" (Dr. M. Syahirman Yusi &amp; Dr. Umiyati Idris, 2020).</w:t>
      </w:r>
    </w:p>
    <w:p w14:paraId="55109B8E" w14:textId="72946E93" w:rsidR="005748E2" w:rsidRDefault="004B2E2B" w:rsidP="00DB5F5C">
      <w:pPr>
        <w:ind w:firstLine="720"/>
        <w:jc w:val="both"/>
        <w:rPr>
          <w:rFonts w:ascii="Book Antiqua" w:hAnsi="Book Antiqua" w:cs="Arial"/>
        </w:rPr>
      </w:pPr>
      <w:r w:rsidRPr="00DB5F5C">
        <w:rPr>
          <w:rFonts w:ascii="Book Antiqua" w:hAnsi="Book Antiqua"/>
          <w:noProof/>
          <w:lang w:val="id-ID" w:eastAsia="id-ID"/>
        </w:rPr>
        <w:t>According to Riana, "The regression equation is formed to explain the pattern of the relationship between variables. The dependent variable can be expressed by variable Y. The variable that explains changes in the variable is called the independent variable, which can be expressed by variable X" (hidayah, 2019). The simple linear line equation is determined as follows: Y = a + bx, where Y is the subject in the predicted dependent variable (dependent variable), a is the constant part, b is the direction number or regression coefficient (If (+) the direction of the line goes up and (-) the direction of the line goes down) and X is the independent variable.</w:t>
      </w:r>
    </w:p>
    <w:p w14:paraId="4362FA75" w14:textId="77777777" w:rsidR="00DB5F5C" w:rsidRPr="00DB5F5C" w:rsidRDefault="00DB5F5C" w:rsidP="00DB5F5C">
      <w:pPr>
        <w:ind w:firstLine="720"/>
        <w:jc w:val="both"/>
        <w:rPr>
          <w:rFonts w:ascii="Book Antiqua" w:hAnsi="Book Antiqua" w:cs="Arial"/>
        </w:rPr>
      </w:pPr>
    </w:p>
    <w:p w14:paraId="792C845A" w14:textId="77777777" w:rsidR="005748E2" w:rsidRDefault="004B2E2B">
      <w:pPr>
        <w:tabs>
          <w:tab w:val="left" w:pos="426"/>
        </w:tabs>
        <w:jc w:val="center"/>
        <w:rPr>
          <w:rFonts w:ascii="Book Antiqua" w:hAnsi="Book Antiqua" w:cs="Arial"/>
          <w:sz w:val="32"/>
          <w:szCs w:val="32"/>
          <w:lang w:val="id-ID"/>
        </w:rPr>
      </w:pPr>
      <w:r>
        <w:rPr>
          <w:rFonts w:ascii="Book Antiqua" w:hAnsi="Book Antiqua" w:cs="Arial"/>
          <w:sz w:val="32"/>
          <w:szCs w:val="32"/>
          <w:lang w:val="id-ID"/>
        </w:rPr>
        <w:t xml:space="preserve">RESULTS </w:t>
      </w:r>
      <w:r>
        <w:rPr>
          <w:rFonts w:ascii="Book Antiqua" w:hAnsi="Book Antiqua" w:cs="Arial"/>
          <w:sz w:val="32"/>
          <w:szCs w:val="32"/>
        </w:rPr>
        <w:t>A</w:t>
      </w:r>
      <w:r>
        <w:rPr>
          <w:rFonts w:ascii="Book Antiqua" w:hAnsi="Book Antiqua" w:cs="Arial"/>
          <w:sz w:val="32"/>
          <w:szCs w:val="32"/>
          <w:lang w:val="id-ID"/>
        </w:rPr>
        <w:t xml:space="preserve">ND </w:t>
      </w:r>
      <w:r>
        <w:rPr>
          <w:rFonts w:ascii="Book Antiqua" w:hAnsi="Book Antiqua" w:cs="Arial"/>
          <w:sz w:val="32"/>
          <w:szCs w:val="32"/>
          <w:lang w:val="en-ID"/>
        </w:rPr>
        <w:t>DISCUSSIONS</w:t>
      </w:r>
    </w:p>
    <w:p w14:paraId="3BDE74DF" w14:textId="77777777" w:rsidR="005748E2" w:rsidRPr="00DB5F5C" w:rsidRDefault="004B2E2B">
      <w:pPr>
        <w:jc w:val="both"/>
        <w:rPr>
          <w:rFonts w:ascii="Book Antiqua" w:hAnsi="Book Antiqua" w:cs="Arial"/>
          <w:lang w:val="en-GB" w:eastAsia="en-GB"/>
        </w:rPr>
      </w:pPr>
      <w:r w:rsidRPr="00DB5F5C">
        <w:rPr>
          <w:rFonts w:ascii="Book Antiqua" w:hAnsi="Book Antiqua" w:cs="Arial"/>
          <w:lang w:val="en-GB" w:eastAsia="en-GB"/>
        </w:rPr>
        <w:t>The history of the establishment of PT Bank BRI Syariah Tbk began with the acquisition by PT Bank Rakyat Indonesia (Persero), Tbk of Bank Jasa Arta on December 19, 2007 and after being granted permission to conduct business activities from Bank Indonesia through letter No. 10/67/KEP.GBI/DPG/2008 on October 16, 2008, then on November 17, 2008 Bank Rakyat Indonesia Syariah officially operated under the name PT Bank BRI Syariah. Then the business activities that initially operated conventionally were changed to banking activities based on Islamic sharia principles (www.brisyariah.co.id). "Since 2016 PT BRI Syariah has shown a leading modern retail bank with a variety of financial services according to customer needs with the easiest reach for a more meaningful life. With excellent service to customers and offering various types of products according to customer expectations with sharia principles" (Pratiwi, 2015). Along with the rapid development of the world of Islamic banking, until now Bank Rakyat Indonesia Syariah has 7,513 employees, 1 Regional Office, 71 Branch Offices (KC), 318 Sub-Branch Offices (KCP), 10 Cash Offices (KK), 3179 Sharia Service Offices. The head office of PT Bank BRI Syariah is located at Jalan Abdul Muis No. 2-4 Central Jakarta, Postal Code 10160 (</w:t>
      </w:r>
      <w:hyperlink r:id="rId11" w:history="1">
        <w:r w:rsidRPr="00DB5F5C">
          <w:rPr>
            <w:rFonts w:ascii="Book Antiqua" w:hAnsi="Book Antiqua" w:cs="Arial"/>
            <w:lang w:val="en-GB" w:eastAsia="en-GB"/>
          </w:rPr>
          <w:t>www.brisyariah.co.id</w:t>
        </w:r>
      </w:hyperlink>
      <w:r w:rsidRPr="00DB5F5C">
        <w:rPr>
          <w:rFonts w:ascii="Book Antiqua" w:hAnsi="Book Antiqua" w:cs="Arial"/>
          <w:lang w:val="en-GB" w:eastAsia="en-GB"/>
        </w:rPr>
        <w:t>).</w:t>
      </w:r>
    </w:p>
    <w:p w14:paraId="6036525F" w14:textId="77777777" w:rsidR="005748E2" w:rsidRPr="00DB5F5C" w:rsidRDefault="004B2E2B">
      <w:pPr>
        <w:ind w:firstLine="720"/>
        <w:jc w:val="both"/>
        <w:rPr>
          <w:rFonts w:ascii="Book Antiqua" w:hAnsi="Book Antiqua" w:cs="Arial"/>
          <w:lang w:val="en-GB" w:eastAsia="en-GB"/>
        </w:rPr>
      </w:pPr>
      <w:r w:rsidRPr="00DB5F5C">
        <w:rPr>
          <w:rFonts w:ascii="Book Antiqua" w:hAnsi="Book Antiqua" w:cs="Arial"/>
          <w:lang w:val="en-GB" w:eastAsia="en-GB"/>
        </w:rPr>
        <w:t>From the SPSS output analysis in the pearson correlation section, the correlation calculation value is obtained which shows a relationship of 0.196. From the results of the analysis it can be concluded that the relationship between promotional costs and third party funds (DPK) at PT Bank Rakyat Syariah Indonesia (Persero) Tbk is very weak. From the SPSS output analysis in the Sig. (2-tailed) obtained a significance calculation value&gt; 0.05 of 0.133 so that it shows that the significance is not correlated, meaning that Ho is accepted and Ha is rejected between the promotional cost variable (X) and the third party fund variable (Y) at PT. Bank BRI Syariah Indonesia (Persero) Tbk. Correlation analysis shows that there is no relationship between Promotion Costs and Third Party Funds.</w:t>
      </w:r>
    </w:p>
    <w:p w14:paraId="1F02EBAB" w14:textId="77777777" w:rsidR="005748E2" w:rsidRDefault="005748E2">
      <w:pPr>
        <w:jc w:val="center"/>
        <w:rPr>
          <w:rFonts w:ascii="Book Antiqua" w:hAnsi="Book Antiqua" w:cs="Arial"/>
          <w:sz w:val="18"/>
          <w:szCs w:val="18"/>
          <w:lang w:val="en-GB" w:eastAsia="en-GB"/>
        </w:rPr>
      </w:pPr>
    </w:p>
    <w:p w14:paraId="4E17BAD7" w14:textId="77777777" w:rsidR="005748E2" w:rsidRDefault="004B2E2B">
      <w:pPr>
        <w:jc w:val="center"/>
        <w:rPr>
          <w:rFonts w:ascii="Book Antiqua" w:hAnsi="Book Antiqua" w:cs="Arial"/>
          <w:sz w:val="18"/>
          <w:szCs w:val="18"/>
          <w:lang w:val="en-GB" w:eastAsia="en-GB"/>
        </w:rPr>
      </w:pPr>
      <w:r w:rsidRPr="00DB5F5C">
        <w:rPr>
          <w:rFonts w:ascii="Book Antiqua" w:hAnsi="Book Antiqua" w:cs="Arial"/>
          <w:b/>
          <w:sz w:val="18"/>
          <w:szCs w:val="18"/>
          <w:lang w:val="en-GB" w:eastAsia="en-GB"/>
        </w:rPr>
        <w:lastRenderedPageBreak/>
        <w:t>Table 1</w:t>
      </w:r>
      <w:r>
        <w:rPr>
          <w:rFonts w:ascii="Book Antiqua" w:hAnsi="Book Antiqua" w:cs="Arial"/>
          <w:sz w:val="18"/>
          <w:szCs w:val="18"/>
          <w:lang w:val="en-GB" w:eastAsia="en-GB"/>
        </w:rPr>
        <w:t>. Correlation Coefficient Analysis PT Bank BRI Syariah Indonesia</w:t>
      </w:r>
    </w:p>
    <w:tbl>
      <w:tblPr>
        <w:tblW w:w="6804" w:type="dxa"/>
        <w:jc w:val="center"/>
        <w:tblLayout w:type="fixed"/>
        <w:tblCellMar>
          <w:left w:w="0" w:type="dxa"/>
          <w:right w:w="0" w:type="dxa"/>
        </w:tblCellMar>
        <w:tblLook w:val="0000" w:firstRow="0" w:lastRow="0" w:firstColumn="0" w:lastColumn="0" w:noHBand="0" w:noVBand="0"/>
      </w:tblPr>
      <w:tblGrid>
        <w:gridCol w:w="1839"/>
        <w:gridCol w:w="1985"/>
        <w:gridCol w:w="1843"/>
        <w:gridCol w:w="1137"/>
      </w:tblGrid>
      <w:tr w:rsidR="005748E2" w14:paraId="44B33BFA" w14:textId="77777777" w:rsidTr="00D300EA">
        <w:trPr>
          <w:cantSplit/>
          <w:jc w:val="center"/>
        </w:trPr>
        <w:tc>
          <w:tcPr>
            <w:tcW w:w="6804" w:type="dxa"/>
            <w:gridSpan w:val="4"/>
            <w:tcBorders>
              <w:bottom w:val="single" w:sz="4" w:space="0" w:color="auto"/>
            </w:tcBorders>
            <w:shd w:val="clear" w:color="auto" w:fill="FFFFFF"/>
            <w:vAlign w:val="center"/>
          </w:tcPr>
          <w:p w14:paraId="7F679B06"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Correlations</w:t>
            </w:r>
          </w:p>
        </w:tc>
      </w:tr>
      <w:tr w:rsidR="005748E2" w14:paraId="28F3AA62" w14:textId="77777777" w:rsidTr="00D300EA">
        <w:trPr>
          <w:cantSplit/>
          <w:jc w:val="center"/>
        </w:trPr>
        <w:tc>
          <w:tcPr>
            <w:tcW w:w="3824" w:type="dxa"/>
            <w:gridSpan w:val="2"/>
            <w:tcBorders>
              <w:top w:val="single" w:sz="4" w:space="0" w:color="auto"/>
              <w:bottom w:val="single" w:sz="4" w:space="0" w:color="auto"/>
            </w:tcBorders>
            <w:shd w:val="clear" w:color="auto" w:fill="FFFFFF"/>
            <w:vAlign w:val="bottom"/>
          </w:tcPr>
          <w:p w14:paraId="2B10B6F8" w14:textId="77777777" w:rsidR="005748E2" w:rsidRDefault="005748E2">
            <w:pPr>
              <w:rPr>
                <w:rFonts w:ascii="Book Antiqua" w:hAnsi="Book Antiqua" w:cs="Arial"/>
                <w:sz w:val="18"/>
                <w:szCs w:val="18"/>
                <w:lang w:val="en-GB" w:eastAsia="en-GB"/>
              </w:rPr>
            </w:pPr>
          </w:p>
        </w:tc>
        <w:tc>
          <w:tcPr>
            <w:tcW w:w="1843" w:type="dxa"/>
            <w:tcBorders>
              <w:top w:val="single" w:sz="4" w:space="0" w:color="auto"/>
              <w:bottom w:val="single" w:sz="4" w:space="0" w:color="auto"/>
            </w:tcBorders>
            <w:shd w:val="clear" w:color="auto" w:fill="FFFFFF"/>
            <w:vAlign w:val="bottom"/>
          </w:tcPr>
          <w:p w14:paraId="3B481712"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Promotion Cost</w:t>
            </w:r>
          </w:p>
        </w:tc>
        <w:tc>
          <w:tcPr>
            <w:tcW w:w="1137" w:type="dxa"/>
            <w:tcBorders>
              <w:top w:val="single" w:sz="4" w:space="0" w:color="auto"/>
              <w:bottom w:val="single" w:sz="4" w:space="0" w:color="auto"/>
            </w:tcBorders>
            <w:shd w:val="clear" w:color="auto" w:fill="FFFFFF"/>
            <w:vAlign w:val="bottom"/>
          </w:tcPr>
          <w:p w14:paraId="57A9D23F"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DPK</w:t>
            </w:r>
          </w:p>
        </w:tc>
      </w:tr>
      <w:tr w:rsidR="005748E2" w14:paraId="33F2C52A" w14:textId="77777777" w:rsidTr="00D300EA">
        <w:trPr>
          <w:cantSplit/>
          <w:jc w:val="center"/>
        </w:trPr>
        <w:tc>
          <w:tcPr>
            <w:tcW w:w="1839" w:type="dxa"/>
            <w:vMerge w:val="restart"/>
            <w:tcBorders>
              <w:top w:val="single" w:sz="4" w:space="0" w:color="auto"/>
            </w:tcBorders>
            <w:shd w:val="clear" w:color="auto" w:fill="FFFFFF"/>
          </w:tcPr>
          <w:p w14:paraId="26DC2FDE" w14:textId="77777777" w:rsidR="005748E2" w:rsidRDefault="004B2E2B">
            <w:pPr>
              <w:ind w:left="60" w:right="60"/>
              <w:rPr>
                <w:rFonts w:ascii="Book Antiqua" w:hAnsi="Book Antiqua" w:cs="Arial"/>
                <w:sz w:val="18"/>
                <w:szCs w:val="18"/>
                <w:lang w:val="en-GB" w:eastAsia="en-GB"/>
              </w:rPr>
            </w:pPr>
            <w:r>
              <w:rPr>
                <w:rFonts w:ascii="Book Antiqua" w:hAnsi="Book Antiqua" w:cs="Arial"/>
                <w:sz w:val="18"/>
                <w:szCs w:val="18"/>
                <w:lang w:val="en-GB" w:eastAsia="en-GB"/>
              </w:rPr>
              <w:t>Promotion Cost</w:t>
            </w:r>
          </w:p>
        </w:tc>
        <w:tc>
          <w:tcPr>
            <w:tcW w:w="1985" w:type="dxa"/>
            <w:tcBorders>
              <w:top w:val="single" w:sz="4" w:space="0" w:color="auto"/>
            </w:tcBorders>
            <w:shd w:val="clear" w:color="auto" w:fill="FFFFFF"/>
          </w:tcPr>
          <w:p w14:paraId="68252F50" w14:textId="77777777" w:rsidR="005748E2" w:rsidRDefault="004B2E2B">
            <w:pPr>
              <w:ind w:left="60" w:right="60"/>
              <w:rPr>
                <w:rFonts w:ascii="Book Antiqua" w:hAnsi="Book Antiqua" w:cs="Arial"/>
                <w:sz w:val="18"/>
                <w:szCs w:val="18"/>
                <w:lang w:val="en-GB" w:eastAsia="en-GB"/>
              </w:rPr>
            </w:pPr>
            <w:r>
              <w:rPr>
                <w:rFonts w:ascii="Book Antiqua" w:hAnsi="Book Antiqua" w:cs="Arial"/>
                <w:sz w:val="18"/>
                <w:szCs w:val="18"/>
                <w:lang w:val="en-GB" w:eastAsia="en-GB"/>
              </w:rPr>
              <w:t>Pearson Correlation</w:t>
            </w:r>
          </w:p>
        </w:tc>
        <w:tc>
          <w:tcPr>
            <w:tcW w:w="1843" w:type="dxa"/>
            <w:tcBorders>
              <w:top w:val="single" w:sz="4" w:space="0" w:color="auto"/>
            </w:tcBorders>
            <w:shd w:val="clear" w:color="auto" w:fill="FFFFFF"/>
            <w:vAlign w:val="center"/>
          </w:tcPr>
          <w:p w14:paraId="7594FDD4"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1</w:t>
            </w:r>
          </w:p>
        </w:tc>
        <w:tc>
          <w:tcPr>
            <w:tcW w:w="1137" w:type="dxa"/>
            <w:tcBorders>
              <w:top w:val="single" w:sz="4" w:space="0" w:color="auto"/>
            </w:tcBorders>
            <w:shd w:val="clear" w:color="auto" w:fill="FFFFFF"/>
            <w:vAlign w:val="center"/>
          </w:tcPr>
          <w:p w14:paraId="6FDAB230"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,196</w:t>
            </w:r>
          </w:p>
        </w:tc>
      </w:tr>
      <w:tr w:rsidR="005748E2" w14:paraId="6AC02B44" w14:textId="77777777" w:rsidTr="00D300EA">
        <w:trPr>
          <w:cantSplit/>
          <w:jc w:val="center"/>
        </w:trPr>
        <w:tc>
          <w:tcPr>
            <w:tcW w:w="1839" w:type="dxa"/>
            <w:vMerge/>
            <w:shd w:val="clear" w:color="auto" w:fill="FFFFFF"/>
          </w:tcPr>
          <w:p w14:paraId="03829B20" w14:textId="77777777" w:rsidR="005748E2" w:rsidRDefault="005748E2">
            <w:pPr>
              <w:rPr>
                <w:rFonts w:ascii="Book Antiqua" w:hAnsi="Book Antiqua" w:cs="Arial"/>
                <w:sz w:val="18"/>
                <w:szCs w:val="18"/>
                <w:lang w:val="en-GB" w:eastAsia="en-GB"/>
              </w:rPr>
            </w:pPr>
          </w:p>
        </w:tc>
        <w:tc>
          <w:tcPr>
            <w:tcW w:w="1985" w:type="dxa"/>
            <w:shd w:val="clear" w:color="auto" w:fill="FFFFFF"/>
          </w:tcPr>
          <w:p w14:paraId="4485DD50" w14:textId="77777777" w:rsidR="005748E2" w:rsidRDefault="004B2E2B">
            <w:pPr>
              <w:ind w:left="60" w:right="60"/>
              <w:rPr>
                <w:rFonts w:ascii="Book Antiqua" w:hAnsi="Book Antiqua" w:cs="Arial"/>
                <w:sz w:val="18"/>
                <w:szCs w:val="18"/>
                <w:lang w:val="en-GB" w:eastAsia="en-GB"/>
              </w:rPr>
            </w:pPr>
            <w:r>
              <w:rPr>
                <w:rFonts w:ascii="Book Antiqua" w:hAnsi="Book Antiqua" w:cs="Arial"/>
                <w:sz w:val="18"/>
                <w:szCs w:val="18"/>
                <w:lang w:val="en-GB" w:eastAsia="en-GB"/>
              </w:rPr>
              <w:t>Sig. (2-tailed)</w:t>
            </w:r>
          </w:p>
        </w:tc>
        <w:tc>
          <w:tcPr>
            <w:tcW w:w="1843" w:type="dxa"/>
            <w:shd w:val="clear" w:color="auto" w:fill="FFFFFF"/>
            <w:vAlign w:val="center"/>
          </w:tcPr>
          <w:p w14:paraId="5E8812DD" w14:textId="77777777" w:rsidR="005748E2" w:rsidRDefault="005748E2">
            <w:pPr>
              <w:rPr>
                <w:rFonts w:ascii="Book Antiqua" w:hAnsi="Book Antiqua" w:cs="Arial"/>
                <w:sz w:val="18"/>
                <w:szCs w:val="18"/>
                <w:lang w:val="en-GB" w:eastAsia="en-GB"/>
              </w:rPr>
            </w:pPr>
          </w:p>
        </w:tc>
        <w:tc>
          <w:tcPr>
            <w:tcW w:w="1137" w:type="dxa"/>
            <w:shd w:val="clear" w:color="auto" w:fill="FFFFFF"/>
            <w:vAlign w:val="center"/>
          </w:tcPr>
          <w:p w14:paraId="25488918"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,133</w:t>
            </w:r>
          </w:p>
        </w:tc>
      </w:tr>
      <w:tr w:rsidR="005748E2" w14:paraId="0ACB8BD0" w14:textId="77777777" w:rsidTr="00D300EA">
        <w:trPr>
          <w:cantSplit/>
          <w:jc w:val="center"/>
        </w:trPr>
        <w:tc>
          <w:tcPr>
            <w:tcW w:w="1839" w:type="dxa"/>
            <w:vMerge/>
            <w:shd w:val="clear" w:color="auto" w:fill="FFFFFF"/>
          </w:tcPr>
          <w:p w14:paraId="6948CFD4" w14:textId="77777777" w:rsidR="005748E2" w:rsidRDefault="005748E2">
            <w:pPr>
              <w:rPr>
                <w:rFonts w:ascii="Book Antiqua" w:hAnsi="Book Antiqua" w:cs="Arial"/>
                <w:sz w:val="18"/>
                <w:szCs w:val="18"/>
                <w:lang w:val="en-GB" w:eastAsia="en-GB"/>
              </w:rPr>
            </w:pPr>
          </w:p>
        </w:tc>
        <w:tc>
          <w:tcPr>
            <w:tcW w:w="1985" w:type="dxa"/>
            <w:shd w:val="clear" w:color="auto" w:fill="FFFFFF"/>
          </w:tcPr>
          <w:p w14:paraId="2959E916" w14:textId="77777777" w:rsidR="005748E2" w:rsidRDefault="004B2E2B">
            <w:pPr>
              <w:ind w:left="60" w:right="60"/>
              <w:rPr>
                <w:rFonts w:ascii="Book Antiqua" w:hAnsi="Book Antiqua" w:cs="Arial"/>
                <w:sz w:val="18"/>
                <w:szCs w:val="18"/>
                <w:lang w:val="en-GB" w:eastAsia="en-GB"/>
              </w:rPr>
            </w:pPr>
            <w:r>
              <w:rPr>
                <w:rFonts w:ascii="Book Antiqua" w:hAnsi="Book Antiqua" w:cs="Arial"/>
                <w:sz w:val="18"/>
                <w:szCs w:val="18"/>
                <w:lang w:val="en-GB" w:eastAsia="en-GB"/>
              </w:rPr>
              <w:t>N</w:t>
            </w:r>
          </w:p>
        </w:tc>
        <w:tc>
          <w:tcPr>
            <w:tcW w:w="1843" w:type="dxa"/>
            <w:shd w:val="clear" w:color="auto" w:fill="FFFFFF"/>
            <w:vAlign w:val="center"/>
          </w:tcPr>
          <w:p w14:paraId="794FA823"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60</w:t>
            </w:r>
          </w:p>
        </w:tc>
        <w:tc>
          <w:tcPr>
            <w:tcW w:w="1137" w:type="dxa"/>
            <w:shd w:val="clear" w:color="auto" w:fill="FFFFFF"/>
            <w:vAlign w:val="center"/>
          </w:tcPr>
          <w:p w14:paraId="7FF23AED"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60</w:t>
            </w:r>
          </w:p>
        </w:tc>
      </w:tr>
      <w:tr w:rsidR="005748E2" w14:paraId="0243C6A2" w14:textId="77777777" w:rsidTr="00D300EA">
        <w:trPr>
          <w:cantSplit/>
          <w:jc w:val="center"/>
        </w:trPr>
        <w:tc>
          <w:tcPr>
            <w:tcW w:w="1839" w:type="dxa"/>
            <w:vMerge w:val="restart"/>
            <w:tcBorders>
              <w:bottom w:val="single" w:sz="4" w:space="0" w:color="auto"/>
            </w:tcBorders>
            <w:shd w:val="clear" w:color="auto" w:fill="FFFFFF"/>
          </w:tcPr>
          <w:p w14:paraId="3DBF6BD3" w14:textId="77777777" w:rsidR="005748E2" w:rsidRDefault="004B2E2B">
            <w:pPr>
              <w:ind w:left="60" w:right="60"/>
              <w:rPr>
                <w:rFonts w:ascii="Book Antiqua" w:hAnsi="Book Antiqua" w:cs="Arial"/>
                <w:sz w:val="18"/>
                <w:szCs w:val="18"/>
                <w:lang w:val="en-GB" w:eastAsia="en-GB"/>
              </w:rPr>
            </w:pPr>
            <w:r>
              <w:rPr>
                <w:rFonts w:ascii="Book Antiqua" w:hAnsi="Book Antiqua" w:cs="Arial"/>
                <w:sz w:val="18"/>
                <w:szCs w:val="18"/>
                <w:lang w:val="en-GB" w:eastAsia="en-GB"/>
              </w:rPr>
              <w:t>DPK</w:t>
            </w:r>
          </w:p>
        </w:tc>
        <w:tc>
          <w:tcPr>
            <w:tcW w:w="1985" w:type="dxa"/>
            <w:shd w:val="clear" w:color="auto" w:fill="FFFFFF"/>
          </w:tcPr>
          <w:p w14:paraId="73985F82" w14:textId="77777777" w:rsidR="005748E2" w:rsidRDefault="004B2E2B">
            <w:pPr>
              <w:ind w:left="60" w:right="60"/>
              <w:rPr>
                <w:rFonts w:ascii="Book Antiqua" w:hAnsi="Book Antiqua" w:cs="Arial"/>
                <w:sz w:val="18"/>
                <w:szCs w:val="18"/>
                <w:lang w:val="en-GB" w:eastAsia="en-GB"/>
              </w:rPr>
            </w:pPr>
            <w:r>
              <w:rPr>
                <w:rFonts w:ascii="Book Antiqua" w:hAnsi="Book Antiqua" w:cs="Arial"/>
                <w:sz w:val="18"/>
                <w:szCs w:val="18"/>
                <w:lang w:val="en-GB" w:eastAsia="en-GB"/>
              </w:rPr>
              <w:t>Pearson Correlation</w:t>
            </w:r>
          </w:p>
        </w:tc>
        <w:tc>
          <w:tcPr>
            <w:tcW w:w="1843" w:type="dxa"/>
            <w:shd w:val="clear" w:color="auto" w:fill="FFFFFF"/>
            <w:vAlign w:val="center"/>
          </w:tcPr>
          <w:p w14:paraId="3794E09C"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,196</w:t>
            </w:r>
          </w:p>
        </w:tc>
        <w:tc>
          <w:tcPr>
            <w:tcW w:w="1137" w:type="dxa"/>
            <w:shd w:val="clear" w:color="auto" w:fill="FFFFFF"/>
            <w:vAlign w:val="center"/>
          </w:tcPr>
          <w:p w14:paraId="6579872D"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1</w:t>
            </w:r>
          </w:p>
        </w:tc>
      </w:tr>
      <w:tr w:rsidR="005748E2" w14:paraId="2E1D2D63" w14:textId="77777777" w:rsidTr="00D300EA">
        <w:trPr>
          <w:cantSplit/>
          <w:jc w:val="center"/>
        </w:trPr>
        <w:tc>
          <w:tcPr>
            <w:tcW w:w="1839" w:type="dxa"/>
            <w:vMerge/>
            <w:tcBorders>
              <w:bottom w:val="single" w:sz="4" w:space="0" w:color="auto"/>
            </w:tcBorders>
            <w:shd w:val="clear" w:color="auto" w:fill="FFFFFF"/>
          </w:tcPr>
          <w:p w14:paraId="7D27DCEF" w14:textId="77777777" w:rsidR="005748E2" w:rsidRDefault="005748E2">
            <w:pPr>
              <w:rPr>
                <w:rFonts w:ascii="Book Antiqua" w:hAnsi="Book Antiqua" w:cs="Arial"/>
                <w:sz w:val="18"/>
                <w:szCs w:val="18"/>
                <w:lang w:val="en-GB" w:eastAsia="en-GB"/>
              </w:rPr>
            </w:pPr>
          </w:p>
        </w:tc>
        <w:tc>
          <w:tcPr>
            <w:tcW w:w="1985" w:type="dxa"/>
            <w:shd w:val="clear" w:color="auto" w:fill="FFFFFF"/>
          </w:tcPr>
          <w:p w14:paraId="7D53C3D8" w14:textId="77777777" w:rsidR="005748E2" w:rsidRDefault="004B2E2B">
            <w:pPr>
              <w:ind w:left="60" w:right="60"/>
              <w:rPr>
                <w:rFonts w:ascii="Book Antiqua" w:hAnsi="Book Antiqua" w:cs="Arial"/>
                <w:sz w:val="18"/>
                <w:szCs w:val="18"/>
                <w:lang w:val="en-GB" w:eastAsia="en-GB"/>
              </w:rPr>
            </w:pPr>
            <w:r>
              <w:rPr>
                <w:rFonts w:ascii="Book Antiqua" w:hAnsi="Book Antiqua" w:cs="Arial"/>
                <w:sz w:val="18"/>
                <w:szCs w:val="18"/>
                <w:lang w:val="en-GB" w:eastAsia="en-GB"/>
              </w:rPr>
              <w:t>Sig. (2-tailed)</w:t>
            </w:r>
          </w:p>
        </w:tc>
        <w:tc>
          <w:tcPr>
            <w:tcW w:w="1843" w:type="dxa"/>
            <w:shd w:val="clear" w:color="auto" w:fill="FFFFFF"/>
            <w:vAlign w:val="center"/>
          </w:tcPr>
          <w:p w14:paraId="118D3287"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,133</w:t>
            </w:r>
          </w:p>
        </w:tc>
        <w:tc>
          <w:tcPr>
            <w:tcW w:w="1137" w:type="dxa"/>
            <w:shd w:val="clear" w:color="auto" w:fill="FFFFFF"/>
            <w:vAlign w:val="center"/>
          </w:tcPr>
          <w:p w14:paraId="70D81EA9" w14:textId="77777777" w:rsidR="005748E2" w:rsidRDefault="005748E2">
            <w:pPr>
              <w:rPr>
                <w:rFonts w:ascii="Book Antiqua" w:hAnsi="Book Antiqua" w:cs="Arial"/>
                <w:sz w:val="18"/>
                <w:szCs w:val="18"/>
                <w:lang w:val="en-GB" w:eastAsia="en-GB"/>
              </w:rPr>
            </w:pPr>
          </w:p>
        </w:tc>
      </w:tr>
      <w:tr w:rsidR="005748E2" w14:paraId="6A9809E6" w14:textId="77777777" w:rsidTr="00D300EA">
        <w:trPr>
          <w:cantSplit/>
          <w:jc w:val="center"/>
        </w:trPr>
        <w:tc>
          <w:tcPr>
            <w:tcW w:w="1839" w:type="dxa"/>
            <w:vMerge/>
            <w:tcBorders>
              <w:bottom w:val="single" w:sz="4" w:space="0" w:color="auto"/>
            </w:tcBorders>
            <w:shd w:val="clear" w:color="auto" w:fill="FFFFFF"/>
          </w:tcPr>
          <w:p w14:paraId="3062E956" w14:textId="77777777" w:rsidR="005748E2" w:rsidRDefault="005748E2">
            <w:pPr>
              <w:rPr>
                <w:rFonts w:ascii="Book Antiqua" w:hAnsi="Book Antiqua" w:cs="Arial"/>
                <w:sz w:val="18"/>
                <w:szCs w:val="18"/>
                <w:lang w:val="en-GB" w:eastAsia="en-GB"/>
              </w:rPr>
            </w:pPr>
          </w:p>
        </w:tc>
        <w:tc>
          <w:tcPr>
            <w:tcW w:w="1985" w:type="dxa"/>
            <w:tcBorders>
              <w:bottom w:val="single" w:sz="4" w:space="0" w:color="auto"/>
            </w:tcBorders>
            <w:shd w:val="clear" w:color="auto" w:fill="FFFFFF"/>
          </w:tcPr>
          <w:p w14:paraId="5D9E4ED3" w14:textId="77777777" w:rsidR="005748E2" w:rsidRDefault="004B2E2B">
            <w:pPr>
              <w:ind w:left="60" w:right="60"/>
              <w:rPr>
                <w:rFonts w:ascii="Book Antiqua" w:hAnsi="Book Antiqua" w:cs="Arial"/>
                <w:sz w:val="18"/>
                <w:szCs w:val="18"/>
                <w:lang w:val="en-GB" w:eastAsia="en-GB"/>
              </w:rPr>
            </w:pPr>
            <w:r>
              <w:rPr>
                <w:rFonts w:ascii="Book Antiqua" w:hAnsi="Book Antiqua" w:cs="Arial"/>
                <w:sz w:val="18"/>
                <w:szCs w:val="18"/>
                <w:lang w:val="en-GB" w:eastAsia="en-GB"/>
              </w:rPr>
              <w:t>N</w:t>
            </w:r>
          </w:p>
        </w:tc>
        <w:tc>
          <w:tcPr>
            <w:tcW w:w="1843" w:type="dxa"/>
            <w:tcBorders>
              <w:bottom w:val="single" w:sz="4" w:space="0" w:color="auto"/>
            </w:tcBorders>
            <w:shd w:val="clear" w:color="auto" w:fill="FFFFFF"/>
            <w:vAlign w:val="center"/>
          </w:tcPr>
          <w:p w14:paraId="1D42D28A"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60</w:t>
            </w:r>
          </w:p>
        </w:tc>
        <w:tc>
          <w:tcPr>
            <w:tcW w:w="1137" w:type="dxa"/>
            <w:tcBorders>
              <w:bottom w:val="single" w:sz="4" w:space="0" w:color="auto"/>
            </w:tcBorders>
            <w:shd w:val="clear" w:color="auto" w:fill="FFFFFF"/>
            <w:vAlign w:val="center"/>
          </w:tcPr>
          <w:p w14:paraId="2793C277"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60</w:t>
            </w:r>
          </w:p>
        </w:tc>
      </w:tr>
    </w:tbl>
    <w:p w14:paraId="65C09F02" w14:textId="77777777" w:rsidR="005748E2" w:rsidRDefault="005748E2">
      <w:pPr>
        <w:jc w:val="center"/>
        <w:rPr>
          <w:rFonts w:ascii="Book Antiqua" w:hAnsi="Book Antiqua" w:cs="Arial"/>
          <w:sz w:val="18"/>
          <w:szCs w:val="18"/>
          <w:lang w:val="en-GB" w:eastAsia="en-GB"/>
        </w:rPr>
      </w:pPr>
      <w:bookmarkStart w:id="2" w:name="_Toc75950712"/>
      <w:bookmarkStart w:id="3" w:name="_Toc75951016"/>
    </w:p>
    <w:p w14:paraId="29A1037E" w14:textId="77777777" w:rsidR="005748E2" w:rsidRDefault="004B2E2B">
      <w:pPr>
        <w:jc w:val="center"/>
        <w:rPr>
          <w:rFonts w:ascii="Book Antiqua" w:hAnsi="Book Antiqua" w:cs="Arial"/>
          <w:sz w:val="18"/>
          <w:szCs w:val="18"/>
          <w:lang w:val="en-GB" w:eastAsia="en-GB"/>
        </w:rPr>
      </w:pPr>
      <w:r w:rsidRPr="00DB5F5C">
        <w:rPr>
          <w:rFonts w:ascii="Book Antiqua" w:hAnsi="Book Antiqua" w:cs="Arial"/>
          <w:b/>
          <w:sz w:val="18"/>
          <w:szCs w:val="18"/>
          <w:lang w:val="en-GB" w:eastAsia="en-GB"/>
        </w:rPr>
        <w:t>Table 2</w:t>
      </w:r>
      <w:r>
        <w:rPr>
          <w:rFonts w:ascii="Book Antiqua" w:hAnsi="Book Antiqua" w:cs="Arial"/>
          <w:sz w:val="18"/>
          <w:szCs w:val="18"/>
          <w:lang w:val="en-GB" w:eastAsia="en-GB"/>
        </w:rPr>
        <w:t xml:space="preserve">. </w:t>
      </w:r>
      <w:bookmarkEnd w:id="2"/>
      <w:bookmarkEnd w:id="3"/>
      <w:r>
        <w:rPr>
          <w:rFonts w:ascii="Book Antiqua" w:hAnsi="Book Antiqua" w:cs="Arial"/>
          <w:sz w:val="18"/>
          <w:szCs w:val="18"/>
          <w:lang w:val="en-GB" w:eastAsia="en-GB"/>
        </w:rPr>
        <w:t>Determination Coefficient Analysis of PT Bank BRI Syariah Indonesia</w:t>
      </w:r>
    </w:p>
    <w:tbl>
      <w:tblPr>
        <w:tblW w:w="8436" w:type="dxa"/>
        <w:jc w:val="center"/>
        <w:tblLayout w:type="fixed"/>
        <w:tblCellMar>
          <w:left w:w="0" w:type="dxa"/>
          <w:right w:w="0" w:type="dxa"/>
        </w:tblCellMar>
        <w:tblLook w:val="0000" w:firstRow="0" w:lastRow="0" w:firstColumn="0" w:lastColumn="0" w:noHBand="0" w:noVBand="0"/>
      </w:tblPr>
      <w:tblGrid>
        <w:gridCol w:w="974"/>
        <w:gridCol w:w="707"/>
        <w:gridCol w:w="752"/>
        <w:gridCol w:w="1019"/>
        <w:gridCol w:w="1020"/>
        <w:gridCol w:w="1020"/>
        <w:gridCol w:w="775"/>
        <w:gridCol w:w="711"/>
        <w:gridCol w:w="643"/>
        <w:gridCol w:w="815"/>
      </w:tblGrid>
      <w:tr w:rsidR="005748E2" w14:paraId="74F61AE3" w14:textId="77777777" w:rsidTr="00D300EA">
        <w:trPr>
          <w:cantSplit/>
          <w:jc w:val="center"/>
        </w:trPr>
        <w:tc>
          <w:tcPr>
            <w:tcW w:w="8436" w:type="dxa"/>
            <w:gridSpan w:val="10"/>
            <w:shd w:val="clear" w:color="auto" w:fill="FFFFFF"/>
            <w:vAlign w:val="center"/>
          </w:tcPr>
          <w:p w14:paraId="210FC49A"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Model Summary</w:t>
            </w:r>
          </w:p>
        </w:tc>
      </w:tr>
      <w:tr w:rsidR="005748E2" w14:paraId="017EC4AD" w14:textId="77777777" w:rsidTr="00D300EA">
        <w:trPr>
          <w:cantSplit/>
          <w:jc w:val="center"/>
        </w:trPr>
        <w:tc>
          <w:tcPr>
            <w:tcW w:w="974" w:type="dxa"/>
            <w:vMerge w:val="restart"/>
            <w:tcBorders>
              <w:top w:val="single" w:sz="4" w:space="0" w:color="auto"/>
              <w:bottom w:val="single" w:sz="4" w:space="0" w:color="auto"/>
            </w:tcBorders>
            <w:shd w:val="clear" w:color="auto" w:fill="FFFFFF"/>
            <w:vAlign w:val="bottom"/>
          </w:tcPr>
          <w:p w14:paraId="20727997" w14:textId="77777777" w:rsidR="005748E2" w:rsidRDefault="004B2E2B">
            <w:pPr>
              <w:ind w:left="60" w:right="60"/>
              <w:rPr>
                <w:rFonts w:ascii="Book Antiqua" w:hAnsi="Book Antiqua" w:cs="Arial"/>
                <w:sz w:val="18"/>
                <w:szCs w:val="18"/>
                <w:lang w:val="en-GB" w:eastAsia="en-GB"/>
              </w:rPr>
            </w:pPr>
            <w:r>
              <w:rPr>
                <w:rFonts w:ascii="Book Antiqua" w:hAnsi="Book Antiqua" w:cs="Arial"/>
                <w:sz w:val="18"/>
                <w:szCs w:val="18"/>
                <w:lang w:val="en-GB" w:eastAsia="en-GB"/>
              </w:rPr>
              <w:t>Model</w:t>
            </w:r>
          </w:p>
        </w:tc>
        <w:tc>
          <w:tcPr>
            <w:tcW w:w="707" w:type="dxa"/>
            <w:vMerge w:val="restart"/>
            <w:tcBorders>
              <w:top w:val="single" w:sz="4" w:space="0" w:color="auto"/>
              <w:bottom w:val="single" w:sz="4" w:space="0" w:color="auto"/>
            </w:tcBorders>
            <w:shd w:val="clear" w:color="auto" w:fill="FFFFFF"/>
            <w:vAlign w:val="bottom"/>
          </w:tcPr>
          <w:p w14:paraId="62AF6AE6"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R</w:t>
            </w:r>
          </w:p>
        </w:tc>
        <w:tc>
          <w:tcPr>
            <w:tcW w:w="752" w:type="dxa"/>
            <w:vMerge w:val="restart"/>
            <w:tcBorders>
              <w:top w:val="single" w:sz="4" w:space="0" w:color="auto"/>
              <w:bottom w:val="single" w:sz="4" w:space="0" w:color="auto"/>
            </w:tcBorders>
            <w:shd w:val="clear" w:color="auto" w:fill="FFFFFF"/>
            <w:vAlign w:val="bottom"/>
          </w:tcPr>
          <w:p w14:paraId="7EA4D99C"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R Square</w:t>
            </w:r>
          </w:p>
        </w:tc>
        <w:tc>
          <w:tcPr>
            <w:tcW w:w="1019" w:type="dxa"/>
            <w:vMerge w:val="restart"/>
            <w:tcBorders>
              <w:top w:val="single" w:sz="4" w:space="0" w:color="auto"/>
              <w:bottom w:val="single" w:sz="4" w:space="0" w:color="auto"/>
            </w:tcBorders>
            <w:shd w:val="clear" w:color="auto" w:fill="FFFFFF"/>
            <w:vAlign w:val="bottom"/>
          </w:tcPr>
          <w:p w14:paraId="153D30A2"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Adjusted R Square</w:t>
            </w:r>
          </w:p>
        </w:tc>
        <w:tc>
          <w:tcPr>
            <w:tcW w:w="1020" w:type="dxa"/>
            <w:vMerge w:val="restart"/>
            <w:tcBorders>
              <w:top w:val="single" w:sz="4" w:space="0" w:color="auto"/>
              <w:bottom w:val="single" w:sz="4" w:space="0" w:color="auto"/>
            </w:tcBorders>
            <w:shd w:val="clear" w:color="auto" w:fill="FFFFFF"/>
            <w:vAlign w:val="bottom"/>
          </w:tcPr>
          <w:p w14:paraId="677F6D2C"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Std. Error of the Estimate</w:t>
            </w:r>
          </w:p>
        </w:tc>
        <w:tc>
          <w:tcPr>
            <w:tcW w:w="3964" w:type="dxa"/>
            <w:gridSpan w:val="5"/>
            <w:tcBorders>
              <w:top w:val="single" w:sz="4" w:space="0" w:color="auto"/>
              <w:bottom w:val="single" w:sz="4" w:space="0" w:color="auto"/>
            </w:tcBorders>
            <w:shd w:val="clear" w:color="auto" w:fill="FFFFFF"/>
            <w:vAlign w:val="bottom"/>
          </w:tcPr>
          <w:p w14:paraId="1E8C2547"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Change Statistics</w:t>
            </w:r>
          </w:p>
        </w:tc>
      </w:tr>
      <w:tr w:rsidR="005748E2" w14:paraId="47D477C2" w14:textId="77777777" w:rsidTr="00D300EA">
        <w:trPr>
          <w:cantSplit/>
          <w:jc w:val="center"/>
        </w:trPr>
        <w:tc>
          <w:tcPr>
            <w:tcW w:w="974" w:type="dxa"/>
            <w:vMerge/>
            <w:tcBorders>
              <w:top w:val="single" w:sz="4" w:space="0" w:color="auto"/>
              <w:bottom w:val="single" w:sz="4" w:space="0" w:color="auto"/>
            </w:tcBorders>
            <w:shd w:val="clear" w:color="auto" w:fill="FFFFFF"/>
            <w:vAlign w:val="bottom"/>
          </w:tcPr>
          <w:p w14:paraId="774BD6F1" w14:textId="77777777" w:rsidR="005748E2" w:rsidRDefault="005748E2">
            <w:pPr>
              <w:rPr>
                <w:rFonts w:ascii="Book Antiqua" w:hAnsi="Book Antiqua" w:cs="Arial"/>
                <w:sz w:val="18"/>
                <w:szCs w:val="18"/>
                <w:lang w:val="en-GB" w:eastAsia="en-GB"/>
              </w:rPr>
            </w:pPr>
          </w:p>
        </w:tc>
        <w:tc>
          <w:tcPr>
            <w:tcW w:w="707" w:type="dxa"/>
            <w:vMerge/>
            <w:tcBorders>
              <w:top w:val="single" w:sz="4" w:space="0" w:color="auto"/>
              <w:bottom w:val="single" w:sz="4" w:space="0" w:color="auto"/>
            </w:tcBorders>
            <w:shd w:val="clear" w:color="auto" w:fill="FFFFFF"/>
            <w:vAlign w:val="bottom"/>
          </w:tcPr>
          <w:p w14:paraId="3381E14D" w14:textId="77777777" w:rsidR="005748E2" w:rsidRDefault="005748E2">
            <w:pPr>
              <w:rPr>
                <w:rFonts w:ascii="Book Antiqua" w:hAnsi="Book Antiqua" w:cs="Arial"/>
                <w:sz w:val="18"/>
                <w:szCs w:val="18"/>
                <w:lang w:val="en-GB" w:eastAsia="en-GB"/>
              </w:rPr>
            </w:pPr>
          </w:p>
        </w:tc>
        <w:tc>
          <w:tcPr>
            <w:tcW w:w="752" w:type="dxa"/>
            <w:vMerge/>
            <w:tcBorders>
              <w:top w:val="single" w:sz="4" w:space="0" w:color="auto"/>
              <w:bottom w:val="single" w:sz="4" w:space="0" w:color="auto"/>
            </w:tcBorders>
            <w:shd w:val="clear" w:color="auto" w:fill="FFFFFF"/>
            <w:vAlign w:val="bottom"/>
          </w:tcPr>
          <w:p w14:paraId="18AD0ED5" w14:textId="77777777" w:rsidR="005748E2" w:rsidRDefault="005748E2">
            <w:pPr>
              <w:rPr>
                <w:rFonts w:ascii="Book Antiqua" w:hAnsi="Book Antiqua" w:cs="Arial"/>
                <w:sz w:val="18"/>
                <w:szCs w:val="18"/>
                <w:lang w:val="en-GB" w:eastAsia="en-GB"/>
              </w:rPr>
            </w:pPr>
          </w:p>
        </w:tc>
        <w:tc>
          <w:tcPr>
            <w:tcW w:w="1019" w:type="dxa"/>
            <w:vMerge/>
            <w:tcBorders>
              <w:top w:val="single" w:sz="4" w:space="0" w:color="auto"/>
              <w:bottom w:val="single" w:sz="4" w:space="0" w:color="auto"/>
            </w:tcBorders>
            <w:shd w:val="clear" w:color="auto" w:fill="FFFFFF"/>
            <w:vAlign w:val="bottom"/>
          </w:tcPr>
          <w:p w14:paraId="421EBC46" w14:textId="77777777" w:rsidR="005748E2" w:rsidRDefault="005748E2">
            <w:pPr>
              <w:rPr>
                <w:rFonts w:ascii="Book Antiqua" w:hAnsi="Book Antiqua" w:cs="Arial"/>
                <w:sz w:val="18"/>
                <w:szCs w:val="18"/>
                <w:lang w:val="en-GB" w:eastAsia="en-GB"/>
              </w:rPr>
            </w:pPr>
          </w:p>
        </w:tc>
        <w:tc>
          <w:tcPr>
            <w:tcW w:w="1020" w:type="dxa"/>
            <w:vMerge/>
            <w:tcBorders>
              <w:top w:val="single" w:sz="4" w:space="0" w:color="auto"/>
              <w:bottom w:val="single" w:sz="4" w:space="0" w:color="auto"/>
            </w:tcBorders>
            <w:shd w:val="clear" w:color="auto" w:fill="FFFFFF"/>
            <w:vAlign w:val="bottom"/>
          </w:tcPr>
          <w:p w14:paraId="30299A6E" w14:textId="77777777" w:rsidR="005748E2" w:rsidRDefault="005748E2">
            <w:pPr>
              <w:rPr>
                <w:rFonts w:ascii="Book Antiqua" w:hAnsi="Book Antiqua" w:cs="Arial"/>
                <w:sz w:val="18"/>
                <w:szCs w:val="18"/>
                <w:lang w:val="en-GB" w:eastAsia="en-GB"/>
              </w:rPr>
            </w:pPr>
          </w:p>
        </w:tc>
        <w:tc>
          <w:tcPr>
            <w:tcW w:w="1020" w:type="dxa"/>
            <w:tcBorders>
              <w:top w:val="single" w:sz="4" w:space="0" w:color="auto"/>
              <w:bottom w:val="single" w:sz="4" w:space="0" w:color="auto"/>
            </w:tcBorders>
            <w:shd w:val="clear" w:color="auto" w:fill="FFFFFF"/>
            <w:vAlign w:val="bottom"/>
          </w:tcPr>
          <w:p w14:paraId="47162F00"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R Square Change</w:t>
            </w:r>
          </w:p>
        </w:tc>
        <w:tc>
          <w:tcPr>
            <w:tcW w:w="775" w:type="dxa"/>
            <w:tcBorders>
              <w:top w:val="single" w:sz="4" w:space="0" w:color="auto"/>
              <w:bottom w:val="single" w:sz="4" w:space="0" w:color="auto"/>
            </w:tcBorders>
            <w:shd w:val="clear" w:color="auto" w:fill="FFFFFF"/>
            <w:vAlign w:val="bottom"/>
          </w:tcPr>
          <w:p w14:paraId="3915DFF4"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F Change</w:t>
            </w:r>
          </w:p>
        </w:tc>
        <w:tc>
          <w:tcPr>
            <w:tcW w:w="711" w:type="dxa"/>
            <w:tcBorders>
              <w:top w:val="single" w:sz="4" w:space="0" w:color="auto"/>
              <w:bottom w:val="single" w:sz="4" w:space="0" w:color="auto"/>
            </w:tcBorders>
            <w:shd w:val="clear" w:color="auto" w:fill="FFFFFF"/>
            <w:vAlign w:val="bottom"/>
          </w:tcPr>
          <w:p w14:paraId="173D5C06"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df1</w:t>
            </w:r>
          </w:p>
        </w:tc>
        <w:tc>
          <w:tcPr>
            <w:tcW w:w="643" w:type="dxa"/>
            <w:tcBorders>
              <w:top w:val="single" w:sz="4" w:space="0" w:color="auto"/>
              <w:bottom w:val="single" w:sz="4" w:space="0" w:color="auto"/>
            </w:tcBorders>
            <w:shd w:val="clear" w:color="auto" w:fill="FFFFFF"/>
            <w:vAlign w:val="bottom"/>
          </w:tcPr>
          <w:p w14:paraId="2800177D"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df2</w:t>
            </w:r>
          </w:p>
        </w:tc>
        <w:tc>
          <w:tcPr>
            <w:tcW w:w="815" w:type="dxa"/>
            <w:tcBorders>
              <w:top w:val="single" w:sz="4" w:space="0" w:color="auto"/>
              <w:bottom w:val="single" w:sz="4" w:space="0" w:color="auto"/>
            </w:tcBorders>
            <w:shd w:val="clear" w:color="auto" w:fill="FFFFFF"/>
            <w:vAlign w:val="bottom"/>
          </w:tcPr>
          <w:p w14:paraId="2691F0ED"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Sig. F Change</w:t>
            </w:r>
          </w:p>
        </w:tc>
      </w:tr>
      <w:tr w:rsidR="005748E2" w14:paraId="3DD38B2B" w14:textId="77777777" w:rsidTr="00D300EA">
        <w:trPr>
          <w:cantSplit/>
          <w:jc w:val="center"/>
        </w:trPr>
        <w:tc>
          <w:tcPr>
            <w:tcW w:w="974" w:type="dxa"/>
            <w:tcBorders>
              <w:top w:val="single" w:sz="4" w:space="0" w:color="auto"/>
              <w:bottom w:val="single" w:sz="4" w:space="0" w:color="auto"/>
            </w:tcBorders>
            <w:shd w:val="clear" w:color="auto" w:fill="FFFFFF"/>
          </w:tcPr>
          <w:p w14:paraId="3D032824" w14:textId="77777777" w:rsidR="005748E2" w:rsidRDefault="004B2E2B">
            <w:pPr>
              <w:ind w:left="60" w:right="60"/>
              <w:rPr>
                <w:rFonts w:ascii="Book Antiqua" w:hAnsi="Book Antiqua" w:cs="Arial"/>
                <w:sz w:val="18"/>
                <w:szCs w:val="18"/>
                <w:lang w:val="en-GB" w:eastAsia="en-GB"/>
              </w:rPr>
            </w:pPr>
            <w:r>
              <w:rPr>
                <w:rFonts w:ascii="Book Antiqua" w:hAnsi="Book Antiqua" w:cs="Arial"/>
                <w:sz w:val="18"/>
                <w:szCs w:val="18"/>
                <w:lang w:val="en-GB" w:eastAsia="en-GB"/>
              </w:rPr>
              <w:t>1</w:t>
            </w:r>
          </w:p>
        </w:tc>
        <w:tc>
          <w:tcPr>
            <w:tcW w:w="707" w:type="dxa"/>
            <w:tcBorders>
              <w:top w:val="single" w:sz="4" w:space="0" w:color="auto"/>
              <w:bottom w:val="single" w:sz="4" w:space="0" w:color="auto"/>
            </w:tcBorders>
            <w:shd w:val="clear" w:color="auto" w:fill="FFFFFF"/>
            <w:vAlign w:val="center"/>
          </w:tcPr>
          <w:p w14:paraId="3D27BEAD"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,196a</w:t>
            </w:r>
          </w:p>
        </w:tc>
        <w:tc>
          <w:tcPr>
            <w:tcW w:w="752" w:type="dxa"/>
            <w:tcBorders>
              <w:top w:val="single" w:sz="4" w:space="0" w:color="auto"/>
              <w:bottom w:val="single" w:sz="4" w:space="0" w:color="auto"/>
            </w:tcBorders>
            <w:shd w:val="clear" w:color="auto" w:fill="FFFFFF"/>
            <w:vAlign w:val="center"/>
          </w:tcPr>
          <w:p w14:paraId="38CAC545"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,038</w:t>
            </w:r>
          </w:p>
        </w:tc>
        <w:tc>
          <w:tcPr>
            <w:tcW w:w="1019" w:type="dxa"/>
            <w:tcBorders>
              <w:top w:val="single" w:sz="4" w:space="0" w:color="auto"/>
              <w:bottom w:val="single" w:sz="4" w:space="0" w:color="auto"/>
            </w:tcBorders>
            <w:shd w:val="clear" w:color="auto" w:fill="FFFFFF"/>
            <w:vAlign w:val="center"/>
          </w:tcPr>
          <w:p w14:paraId="55FEBA69"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,022</w:t>
            </w:r>
          </w:p>
        </w:tc>
        <w:tc>
          <w:tcPr>
            <w:tcW w:w="1020" w:type="dxa"/>
            <w:tcBorders>
              <w:top w:val="single" w:sz="4" w:space="0" w:color="auto"/>
              <w:bottom w:val="single" w:sz="4" w:space="0" w:color="auto"/>
            </w:tcBorders>
            <w:shd w:val="clear" w:color="auto" w:fill="FFFFFF"/>
            <w:vAlign w:val="center"/>
          </w:tcPr>
          <w:p w14:paraId="28423FE3"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7755957,911</w:t>
            </w:r>
          </w:p>
        </w:tc>
        <w:tc>
          <w:tcPr>
            <w:tcW w:w="1020" w:type="dxa"/>
            <w:tcBorders>
              <w:top w:val="single" w:sz="4" w:space="0" w:color="auto"/>
              <w:bottom w:val="single" w:sz="4" w:space="0" w:color="auto"/>
            </w:tcBorders>
            <w:shd w:val="clear" w:color="auto" w:fill="FFFFFF"/>
            <w:vAlign w:val="center"/>
          </w:tcPr>
          <w:p w14:paraId="1099B6F8"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,038</w:t>
            </w:r>
          </w:p>
        </w:tc>
        <w:tc>
          <w:tcPr>
            <w:tcW w:w="775" w:type="dxa"/>
            <w:tcBorders>
              <w:top w:val="single" w:sz="4" w:space="0" w:color="auto"/>
              <w:bottom w:val="single" w:sz="4" w:space="0" w:color="auto"/>
            </w:tcBorders>
            <w:shd w:val="clear" w:color="auto" w:fill="FFFFFF"/>
            <w:vAlign w:val="center"/>
          </w:tcPr>
          <w:p w14:paraId="740CF0DA"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2,320</w:t>
            </w:r>
          </w:p>
        </w:tc>
        <w:tc>
          <w:tcPr>
            <w:tcW w:w="711" w:type="dxa"/>
            <w:tcBorders>
              <w:top w:val="single" w:sz="4" w:space="0" w:color="auto"/>
              <w:bottom w:val="single" w:sz="4" w:space="0" w:color="auto"/>
            </w:tcBorders>
            <w:shd w:val="clear" w:color="auto" w:fill="FFFFFF"/>
            <w:vAlign w:val="center"/>
          </w:tcPr>
          <w:p w14:paraId="2F80D435"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1</w:t>
            </w:r>
          </w:p>
        </w:tc>
        <w:tc>
          <w:tcPr>
            <w:tcW w:w="643" w:type="dxa"/>
            <w:tcBorders>
              <w:top w:val="single" w:sz="4" w:space="0" w:color="auto"/>
              <w:bottom w:val="single" w:sz="4" w:space="0" w:color="auto"/>
            </w:tcBorders>
            <w:shd w:val="clear" w:color="auto" w:fill="FFFFFF"/>
            <w:vAlign w:val="center"/>
          </w:tcPr>
          <w:p w14:paraId="7C59B637"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58</w:t>
            </w:r>
          </w:p>
        </w:tc>
        <w:tc>
          <w:tcPr>
            <w:tcW w:w="815" w:type="dxa"/>
            <w:tcBorders>
              <w:top w:val="single" w:sz="4" w:space="0" w:color="auto"/>
              <w:bottom w:val="single" w:sz="4" w:space="0" w:color="auto"/>
            </w:tcBorders>
            <w:shd w:val="clear" w:color="auto" w:fill="FFFFFF"/>
            <w:vAlign w:val="center"/>
          </w:tcPr>
          <w:p w14:paraId="18B04854"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,133</w:t>
            </w:r>
          </w:p>
        </w:tc>
      </w:tr>
      <w:tr w:rsidR="005748E2" w14:paraId="3AEE8E91" w14:textId="77777777" w:rsidTr="00D300EA">
        <w:trPr>
          <w:cantSplit/>
          <w:jc w:val="center"/>
        </w:trPr>
        <w:tc>
          <w:tcPr>
            <w:tcW w:w="8436" w:type="dxa"/>
            <w:gridSpan w:val="10"/>
            <w:shd w:val="clear" w:color="auto" w:fill="FFFFFF"/>
          </w:tcPr>
          <w:p w14:paraId="778EC37D" w14:textId="77777777" w:rsidR="005748E2" w:rsidRDefault="004B2E2B">
            <w:pPr>
              <w:ind w:left="60" w:right="60"/>
              <w:rPr>
                <w:rFonts w:ascii="Book Antiqua" w:hAnsi="Book Antiqua" w:cs="Arial"/>
                <w:sz w:val="18"/>
                <w:szCs w:val="18"/>
                <w:lang w:val="en-GB" w:eastAsia="en-GB"/>
              </w:rPr>
            </w:pPr>
            <w:r>
              <w:rPr>
                <w:rFonts w:ascii="Book Antiqua" w:hAnsi="Book Antiqua" w:cs="Arial"/>
                <w:sz w:val="18"/>
                <w:szCs w:val="18"/>
                <w:lang w:val="en-GB" w:eastAsia="en-GB"/>
              </w:rPr>
              <w:t>a. Predictors: (Constant), Promotion Cost</w:t>
            </w:r>
          </w:p>
        </w:tc>
      </w:tr>
    </w:tbl>
    <w:p w14:paraId="6CE029C3" w14:textId="77777777" w:rsidR="005748E2" w:rsidRDefault="004B2E2B">
      <w:pPr>
        <w:tabs>
          <w:tab w:val="left" w:pos="567"/>
          <w:tab w:val="left" w:pos="2552"/>
        </w:tabs>
        <w:jc w:val="both"/>
        <w:rPr>
          <w:rFonts w:ascii="Book Antiqua" w:hAnsi="Book Antiqua" w:cs="Arial"/>
          <w:sz w:val="18"/>
          <w:szCs w:val="18"/>
          <w:lang w:val="en-GB" w:eastAsia="en-GB"/>
        </w:rPr>
      </w:pPr>
      <w:r>
        <w:rPr>
          <w:rFonts w:ascii="Book Antiqua" w:hAnsi="Book Antiqua" w:cs="Arial"/>
          <w:sz w:val="18"/>
          <w:szCs w:val="18"/>
          <w:lang w:val="en-GB" w:eastAsia="en-GB"/>
        </w:rPr>
        <w:tab/>
      </w:r>
    </w:p>
    <w:p w14:paraId="6EAF1CEA" w14:textId="77777777" w:rsidR="005748E2" w:rsidRPr="00DB5F5C" w:rsidRDefault="004B2E2B">
      <w:pPr>
        <w:tabs>
          <w:tab w:val="left" w:pos="567"/>
          <w:tab w:val="left" w:pos="2552"/>
        </w:tabs>
        <w:jc w:val="both"/>
        <w:rPr>
          <w:rFonts w:ascii="Book Antiqua" w:hAnsi="Book Antiqua" w:cs="Arial"/>
          <w:lang w:val="en-GB" w:eastAsia="en-GB"/>
        </w:rPr>
      </w:pPr>
      <w:r w:rsidRPr="00DB5F5C">
        <w:rPr>
          <w:rFonts w:ascii="Book Antiqua" w:hAnsi="Book Antiqua" w:cs="Arial"/>
          <w:lang w:val="en-GB" w:eastAsia="en-GB"/>
        </w:rPr>
        <w:t>From the SPSS output analysis in table 2, the R squere value shows the coefficient of determination or the r2 value of 0.038%, meaning that the promotion cost variable can explain its effect on the value of the amount of third party funds, namely 0.038%, while the remaining 100% - 0.038% = 99.962% is explained by other factors.  The figure of 0.038% shows a very weak relationship.</w:t>
      </w:r>
    </w:p>
    <w:p w14:paraId="4EF53F9B" w14:textId="77777777" w:rsidR="005748E2" w:rsidRDefault="004B2E2B">
      <w:pPr>
        <w:tabs>
          <w:tab w:val="left" w:pos="567"/>
          <w:tab w:val="left" w:pos="2552"/>
        </w:tabs>
        <w:jc w:val="both"/>
        <w:rPr>
          <w:rFonts w:ascii="Book Antiqua" w:hAnsi="Book Antiqua" w:cs="Arial"/>
          <w:sz w:val="18"/>
          <w:szCs w:val="18"/>
          <w:lang w:val="en-GB" w:eastAsia="en-GB"/>
        </w:rPr>
      </w:pPr>
      <w:r w:rsidRPr="00DB5F5C">
        <w:rPr>
          <w:rFonts w:ascii="Book Antiqua" w:hAnsi="Book Antiqua" w:cs="Arial"/>
          <w:lang w:val="en-GB" w:eastAsia="en-GB"/>
        </w:rPr>
        <w:tab/>
        <w:t>Based on table 3 below, the ANOVA test produces an F number of 2.320 with a significance level (probability number) of 0.133. Because the probability number&gt; 0.05 (0.133&gt; 0.05), this regression model is not feasible to predict the level of promotional costs on third party funds. From the output of SPSS version 22, the regression equation Ŷ = 26705681.242 + 203.726X is obtained, these results can be explained as follows: The value of a = constant number (a) is 26705681.242; can be interpreted if the promotional fee is 0, then the level of third party fund collection is 26705681.242. The value of b = the regression coefficient number is 203.726. This value means that every additional 1 unit of promotional costs, the third party funds</w:t>
      </w:r>
      <w:r>
        <w:rPr>
          <w:rFonts w:ascii="Book Antiqua" w:hAnsi="Book Antiqua" w:cs="Arial"/>
          <w:sz w:val="18"/>
          <w:szCs w:val="18"/>
          <w:lang w:val="en-GB" w:eastAsia="en-GB"/>
        </w:rPr>
        <w:t xml:space="preserve"> </w:t>
      </w:r>
      <w:r w:rsidRPr="00DB5F5C">
        <w:rPr>
          <w:rFonts w:ascii="Book Antiqua" w:hAnsi="Book Antiqua" w:cs="Arial"/>
          <w:lang w:val="en-GB" w:eastAsia="en-GB"/>
        </w:rPr>
        <w:t>increase by 203.726.</w:t>
      </w:r>
    </w:p>
    <w:p w14:paraId="31960E3A" w14:textId="77777777" w:rsidR="005748E2" w:rsidRDefault="005748E2">
      <w:pPr>
        <w:tabs>
          <w:tab w:val="left" w:pos="567"/>
          <w:tab w:val="left" w:pos="2552"/>
        </w:tabs>
        <w:jc w:val="both"/>
        <w:rPr>
          <w:rFonts w:ascii="Book Antiqua" w:hAnsi="Book Antiqua" w:cs="Arial"/>
          <w:sz w:val="18"/>
          <w:szCs w:val="18"/>
          <w:lang w:val="en-GB" w:eastAsia="en-GB"/>
        </w:rPr>
      </w:pPr>
    </w:p>
    <w:p w14:paraId="64AC96A4" w14:textId="77777777" w:rsidR="005748E2" w:rsidRDefault="004B2E2B">
      <w:pPr>
        <w:jc w:val="center"/>
        <w:rPr>
          <w:rFonts w:ascii="Book Antiqua" w:hAnsi="Book Antiqua" w:cs="Arial"/>
          <w:sz w:val="18"/>
          <w:szCs w:val="18"/>
          <w:lang w:val="en-GB" w:eastAsia="en-GB"/>
        </w:rPr>
      </w:pPr>
      <w:bookmarkStart w:id="4" w:name="_Toc75950714"/>
      <w:bookmarkStart w:id="5" w:name="_Toc75951018"/>
      <w:r w:rsidRPr="00DB5F5C">
        <w:rPr>
          <w:rFonts w:ascii="Book Antiqua" w:hAnsi="Book Antiqua" w:cs="Arial"/>
          <w:b/>
          <w:sz w:val="18"/>
          <w:szCs w:val="18"/>
          <w:lang w:val="en-GB" w:eastAsia="en-GB"/>
        </w:rPr>
        <w:t>Table 3</w:t>
      </w:r>
      <w:r>
        <w:rPr>
          <w:rFonts w:ascii="Book Antiqua" w:hAnsi="Book Antiqua" w:cs="Arial"/>
          <w:sz w:val="18"/>
          <w:szCs w:val="18"/>
          <w:lang w:val="en-GB" w:eastAsia="en-GB"/>
        </w:rPr>
        <w:t xml:space="preserve">. </w:t>
      </w:r>
      <w:bookmarkEnd w:id="4"/>
      <w:bookmarkEnd w:id="5"/>
      <w:r>
        <w:rPr>
          <w:rFonts w:ascii="Book Antiqua" w:hAnsi="Book Antiqua" w:cs="Arial"/>
          <w:sz w:val="18"/>
          <w:szCs w:val="18"/>
          <w:lang w:val="en-GB" w:eastAsia="en-GB"/>
        </w:rPr>
        <w:t>Simple Linear Regression Analysis Table (Ŷ)PT. Bank BRI Syariah Indonesia</w:t>
      </w:r>
    </w:p>
    <w:tbl>
      <w:tblPr>
        <w:tblW w:w="8931" w:type="dxa"/>
        <w:jc w:val="center"/>
        <w:tblLayout w:type="fixed"/>
        <w:tblCellMar>
          <w:left w:w="0" w:type="dxa"/>
          <w:right w:w="0" w:type="dxa"/>
        </w:tblCellMar>
        <w:tblLook w:val="0000" w:firstRow="0" w:lastRow="0" w:firstColumn="0" w:lastColumn="0" w:noHBand="0" w:noVBand="0"/>
      </w:tblPr>
      <w:tblGrid>
        <w:gridCol w:w="1286"/>
        <w:gridCol w:w="1487"/>
        <w:gridCol w:w="1442"/>
        <w:gridCol w:w="1382"/>
        <w:gridCol w:w="1442"/>
        <w:gridCol w:w="758"/>
        <w:gridCol w:w="1134"/>
      </w:tblGrid>
      <w:tr w:rsidR="005748E2" w14:paraId="6B533DCB" w14:textId="77777777">
        <w:trPr>
          <w:cantSplit/>
          <w:jc w:val="center"/>
        </w:trPr>
        <w:tc>
          <w:tcPr>
            <w:tcW w:w="8931" w:type="dxa"/>
            <w:gridSpan w:val="7"/>
            <w:shd w:val="clear" w:color="auto" w:fill="FFFFFF"/>
            <w:vAlign w:val="center"/>
          </w:tcPr>
          <w:p w14:paraId="4C1C0E09"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Coefficientsa</w:t>
            </w:r>
          </w:p>
        </w:tc>
      </w:tr>
      <w:tr w:rsidR="005748E2" w14:paraId="0E97BC3B" w14:textId="77777777">
        <w:trPr>
          <w:cantSplit/>
          <w:jc w:val="center"/>
        </w:trPr>
        <w:tc>
          <w:tcPr>
            <w:tcW w:w="2773" w:type="dxa"/>
            <w:gridSpan w:val="2"/>
            <w:vMerge w:val="restart"/>
            <w:tcBorders>
              <w:top w:val="single" w:sz="4" w:space="0" w:color="auto"/>
              <w:bottom w:val="single" w:sz="4" w:space="0" w:color="auto"/>
            </w:tcBorders>
            <w:shd w:val="clear" w:color="auto" w:fill="FFFFFF"/>
            <w:vAlign w:val="bottom"/>
          </w:tcPr>
          <w:p w14:paraId="73767C5E" w14:textId="77777777" w:rsidR="005748E2" w:rsidRDefault="004B2E2B">
            <w:pPr>
              <w:ind w:left="60" w:right="60"/>
              <w:rPr>
                <w:rFonts w:ascii="Book Antiqua" w:hAnsi="Book Antiqua" w:cs="Arial"/>
                <w:sz w:val="18"/>
                <w:szCs w:val="18"/>
                <w:lang w:val="en-GB" w:eastAsia="en-GB"/>
              </w:rPr>
            </w:pPr>
            <w:r>
              <w:rPr>
                <w:rFonts w:ascii="Book Antiqua" w:hAnsi="Book Antiqua" w:cs="Arial"/>
                <w:sz w:val="18"/>
                <w:szCs w:val="18"/>
                <w:lang w:val="en-GB" w:eastAsia="en-GB"/>
              </w:rPr>
              <w:t>Model</w:t>
            </w:r>
          </w:p>
        </w:tc>
        <w:tc>
          <w:tcPr>
            <w:tcW w:w="2824" w:type="dxa"/>
            <w:gridSpan w:val="2"/>
            <w:tcBorders>
              <w:top w:val="single" w:sz="4" w:space="0" w:color="auto"/>
              <w:bottom w:val="single" w:sz="4" w:space="0" w:color="auto"/>
            </w:tcBorders>
            <w:shd w:val="clear" w:color="auto" w:fill="FFFFFF"/>
            <w:vAlign w:val="bottom"/>
          </w:tcPr>
          <w:p w14:paraId="238E2A72"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Unstandardized Coefficients</w:t>
            </w:r>
          </w:p>
        </w:tc>
        <w:tc>
          <w:tcPr>
            <w:tcW w:w="1442" w:type="dxa"/>
            <w:tcBorders>
              <w:top w:val="single" w:sz="4" w:space="0" w:color="auto"/>
              <w:bottom w:val="single" w:sz="4" w:space="0" w:color="auto"/>
            </w:tcBorders>
            <w:shd w:val="clear" w:color="auto" w:fill="FFFFFF"/>
            <w:vAlign w:val="bottom"/>
          </w:tcPr>
          <w:p w14:paraId="1FFF1A7A"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Standardized Coefficients</w:t>
            </w:r>
          </w:p>
        </w:tc>
        <w:tc>
          <w:tcPr>
            <w:tcW w:w="758" w:type="dxa"/>
            <w:vMerge w:val="restart"/>
            <w:tcBorders>
              <w:top w:val="single" w:sz="4" w:space="0" w:color="auto"/>
              <w:bottom w:val="single" w:sz="4" w:space="0" w:color="auto"/>
            </w:tcBorders>
            <w:shd w:val="clear" w:color="auto" w:fill="FFFFFF"/>
            <w:vAlign w:val="bottom"/>
          </w:tcPr>
          <w:p w14:paraId="18A7839A"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T</w:t>
            </w:r>
          </w:p>
        </w:tc>
        <w:tc>
          <w:tcPr>
            <w:tcW w:w="1134" w:type="dxa"/>
            <w:vMerge w:val="restart"/>
            <w:tcBorders>
              <w:top w:val="single" w:sz="4" w:space="0" w:color="auto"/>
              <w:bottom w:val="single" w:sz="4" w:space="0" w:color="auto"/>
            </w:tcBorders>
            <w:shd w:val="clear" w:color="auto" w:fill="FFFFFF"/>
            <w:vAlign w:val="bottom"/>
          </w:tcPr>
          <w:p w14:paraId="6D707725"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Sig.</w:t>
            </w:r>
          </w:p>
        </w:tc>
      </w:tr>
      <w:tr w:rsidR="005748E2" w14:paraId="6DEF2E5D" w14:textId="77777777">
        <w:trPr>
          <w:cantSplit/>
          <w:jc w:val="center"/>
        </w:trPr>
        <w:tc>
          <w:tcPr>
            <w:tcW w:w="2773" w:type="dxa"/>
            <w:gridSpan w:val="2"/>
            <w:vMerge/>
            <w:tcBorders>
              <w:top w:val="single" w:sz="4" w:space="0" w:color="auto"/>
              <w:bottom w:val="single" w:sz="4" w:space="0" w:color="auto"/>
            </w:tcBorders>
            <w:shd w:val="clear" w:color="auto" w:fill="FFFFFF"/>
            <w:vAlign w:val="bottom"/>
          </w:tcPr>
          <w:p w14:paraId="6E1CEB96" w14:textId="77777777" w:rsidR="005748E2" w:rsidRDefault="005748E2">
            <w:pPr>
              <w:rPr>
                <w:rFonts w:ascii="Book Antiqua" w:hAnsi="Book Antiqua" w:cs="Arial"/>
                <w:sz w:val="18"/>
                <w:szCs w:val="18"/>
                <w:lang w:val="en-GB" w:eastAsia="en-GB"/>
              </w:rPr>
            </w:pPr>
          </w:p>
        </w:tc>
        <w:tc>
          <w:tcPr>
            <w:tcW w:w="1442" w:type="dxa"/>
            <w:tcBorders>
              <w:top w:val="single" w:sz="4" w:space="0" w:color="auto"/>
              <w:bottom w:val="single" w:sz="4" w:space="0" w:color="auto"/>
            </w:tcBorders>
            <w:shd w:val="clear" w:color="auto" w:fill="FFFFFF"/>
            <w:vAlign w:val="bottom"/>
          </w:tcPr>
          <w:p w14:paraId="6686D69F"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B</w:t>
            </w:r>
          </w:p>
        </w:tc>
        <w:tc>
          <w:tcPr>
            <w:tcW w:w="1382" w:type="dxa"/>
            <w:tcBorders>
              <w:top w:val="single" w:sz="4" w:space="0" w:color="auto"/>
              <w:bottom w:val="single" w:sz="4" w:space="0" w:color="auto"/>
            </w:tcBorders>
            <w:shd w:val="clear" w:color="auto" w:fill="FFFFFF"/>
            <w:vAlign w:val="bottom"/>
          </w:tcPr>
          <w:p w14:paraId="5DE478C9"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Std. Error</w:t>
            </w:r>
          </w:p>
        </w:tc>
        <w:tc>
          <w:tcPr>
            <w:tcW w:w="1442" w:type="dxa"/>
            <w:tcBorders>
              <w:top w:val="single" w:sz="4" w:space="0" w:color="auto"/>
              <w:bottom w:val="single" w:sz="4" w:space="0" w:color="auto"/>
            </w:tcBorders>
            <w:shd w:val="clear" w:color="auto" w:fill="FFFFFF"/>
            <w:vAlign w:val="bottom"/>
          </w:tcPr>
          <w:p w14:paraId="20FAADDC" w14:textId="77777777" w:rsidR="005748E2" w:rsidRDefault="004B2E2B">
            <w:pPr>
              <w:ind w:left="60" w:right="60"/>
              <w:jc w:val="center"/>
              <w:rPr>
                <w:rFonts w:ascii="Book Antiqua" w:hAnsi="Book Antiqua" w:cs="Arial"/>
                <w:sz w:val="18"/>
                <w:szCs w:val="18"/>
                <w:lang w:val="en-GB" w:eastAsia="en-GB"/>
              </w:rPr>
            </w:pPr>
            <w:r>
              <w:rPr>
                <w:rFonts w:ascii="Book Antiqua" w:hAnsi="Book Antiqua" w:cs="Arial"/>
                <w:sz w:val="18"/>
                <w:szCs w:val="18"/>
                <w:lang w:val="en-GB" w:eastAsia="en-GB"/>
              </w:rPr>
              <w:t>Beta</w:t>
            </w:r>
          </w:p>
        </w:tc>
        <w:tc>
          <w:tcPr>
            <w:tcW w:w="758" w:type="dxa"/>
            <w:vMerge/>
            <w:tcBorders>
              <w:bottom w:val="single" w:sz="4" w:space="0" w:color="auto"/>
            </w:tcBorders>
            <w:shd w:val="clear" w:color="auto" w:fill="FFFFFF"/>
            <w:vAlign w:val="bottom"/>
          </w:tcPr>
          <w:p w14:paraId="4BEC878B" w14:textId="77777777" w:rsidR="005748E2" w:rsidRDefault="005748E2">
            <w:pPr>
              <w:rPr>
                <w:rFonts w:ascii="Book Antiqua" w:hAnsi="Book Antiqua" w:cs="Arial"/>
                <w:sz w:val="18"/>
                <w:szCs w:val="18"/>
                <w:lang w:val="en-GB" w:eastAsia="en-GB"/>
              </w:rPr>
            </w:pPr>
          </w:p>
        </w:tc>
        <w:tc>
          <w:tcPr>
            <w:tcW w:w="1134" w:type="dxa"/>
            <w:vMerge/>
            <w:tcBorders>
              <w:bottom w:val="single" w:sz="4" w:space="0" w:color="auto"/>
            </w:tcBorders>
            <w:shd w:val="clear" w:color="auto" w:fill="FFFFFF"/>
            <w:vAlign w:val="bottom"/>
          </w:tcPr>
          <w:p w14:paraId="4C18C94B" w14:textId="77777777" w:rsidR="005748E2" w:rsidRDefault="005748E2">
            <w:pPr>
              <w:rPr>
                <w:rFonts w:ascii="Book Antiqua" w:hAnsi="Book Antiqua" w:cs="Arial"/>
                <w:sz w:val="18"/>
                <w:szCs w:val="18"/>
                <w:lang w:val="en-GB" w:eastAsia="en-GB"/>
              </w:rPr>
            </w:pPr>
          </w:p>
        </w:tc>
      </w:tr>
      <w:tr w:rsidR="005748E2" w14:paraId="6D7B651C" w14:textId="77777777">
        <w:trPr>
          <w:cantSplit/>
          <w:jc w:val="center"/>
        </w:trPr>
        <w:tc>
          <w:tcPr>
            <w:tcW w:w="1286" w:type="dxa"/>
            <w:vMerge w:val="restart"/>
            <w:tcBorders>
              <w:top w:val="single" w:sz="4" w:space="0" w:color="auto"/>
              <w:bottom w:val="single" w:sz="4" w:space="0" w:color="auto"/>
            </w:tcBorders>
            <w:shd w:val="clear" w:color="auto" w:fill="FFFFFF"/>
          </w:tcPr>
          <w:p w14:paraId="0BD2AA1D" w14:textId="77777777" w:rsidR="005748E2" w:rsidRDefault="004B2E2B">
            <w:pPr>
              <w:ind w:left="60" w:right="60"/>
              <w:rPr>
                <w:rFonts w:ascii="Book Antiqua" w:hAnsi="Book Antiqua" w:cs="Arial"/>
                <w:sz w:val="18"/>
                <w:szCs w:val="18"/>
                <w:lang w:val="en-GB" w:eastAsia="en-GB"/>
              </w:rPr>
            </w:pPr>
            <w:r>
              <w:rPr>
                <w:rFonts w:ascii="Book Antiqua" w:hAnsi="Book Antiqua" w:cs="Arial"/>
                <w:sz w:val="18"/>
                <w:szCs w:val="18"/>
                <w:lang w:val="en-GB" w:eastAsia="en-GB"/>
              </w:rPr>
              <w:t>1</w:t>
            </w:r>
          </w:p>
        </w:tc>
        <w:tc>
          <w:tcPr>
            <w:tcW w:w="1487" w:type="dxa"/>
            <w:tcBorders>
              <w:top w:val="single" w:sz="4" w:space="0" w:color="auto"/>
            </w:tcBorders>
            <w:shd w:val="clear" w:color="auto" w:fill="FFFFFF"/>
          </w:tcPr>
          <w:p w14:paraId="2BD4C59F" w14:textId="77777777" w:rsidR="005748E2" w:rsidRDefault="004B2E2B">
            <w:pPr>
              <w:ind w:left="60" w:right="60"/>
              <w:rPr>
                <w:rFonts w:ascii="Book Antiqua" w:hAnsi="Book Antiqua" w:cs="Arial"/>
                <w:sz w:val="18"/>
                <w:szCs w:val="18"/>
                <w:lang w:val="en-GB" w:eastAsia="en-GB"/>
              </w:rPr>
            </w:pPr>
            <w:r>
              <w:rPr>
                <w:rFonts w:ascii="Book Antiqua" w:hAnsi="Book Antiqua" w:cs="Arial"/>
                <w:sz w:val="18"/>
                <w:szCs w:val="18"/>
                <w:lang w:val="en-GB" w:eastAsia="en-GB"/>
              </w:rPr>
              <w:t>(Constant)</w:t>
            </w:r>
          </w:p>
        </w:tc>
        <w:tc>
          <w:tcPr>
            <w:tcW w:w="1442" w:type="dxa"/>
            <w:tcBorders>
              <w:top w:val="single" w:sz="4" w:space="0" w:color="auto"/>
            </w:tcBorders>
            <w:shd w:val="clear" w:color="auto" w:fill="FFFFFF"/>
            <w:vAlign w:val="center"/>
          </w:tcPr>
          <w:p w14:paraId="1CAE2940"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26705681,242</w:t>
            </w:r>
          </w:p>
        </w:tc>
        <w:tc>
          <w:tcPr>
            <w:tcW w:w="1382" w:type="dxa"/>
            <w:tcBorders>
              <w:top w:val="single" w:sz="4" w:space="0" w:color="auto"/>
            </w:tcBorders>
            <w:shd w:val="clear" w:color="auto" w:fill="FFFFFF"/>
            <w:vAlign w:val="center"/>
          </w:tcPr>
          <w:p w14:paraId="60713079"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1614817,470</w:t>
            </w:r>
          </w:p>
        </w:tc>
        <w:tc>
          <w:tcPr>
            <w:tcW w:w="1442" w:type="dxa"/>
            <w:tcBorders>
              <w:top w:val="single" w:sz="4" w:space="0" w:color="auto"/>
            </w:tcBorders>
            <w:shd w:val="clear" w:color="auto" w:fill="FFFFFF"/>
            <w:vAlign w:val="center"/>
          </w:tcPr>
          <w:p w14:paraId="715D82F2" w14:textId="77777777" w:rsidR="005748E2" w:rsidRDefault="005748E2">
            <w:pPr>
              <w:rPr>
                <w:rFonts w:ascii="Book Antiqua" w:hAnsi="Book Antiqua" w:cs="Arial"/>
                <w:sz w:val="18"/>
                <w:szCs w:val="18"/>
                <w:lang w:val="en-GB" w:eastAsia="en-GB"/>
              </w:rPr>
            </w:pPr>
          </w:p>
        </w:tc>
        <w:tc>
          <w:tcPr>
            <w:tcW w:w="758" w:type="dxa"/>
            <w:tcBorders>
              <w:top w:val="single" w:sz="4" w:space="0" w:color="auto"/>
            </w:tcBorders>
            <w:shd w:val="clear" w:color="auto" w:fill="FFFFFF"/>
            <w:vAlign w:val="center"/>
          </w:tcPr>
          <w:p w14:paraId="2B757AD2"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16,538</w:t>
            </w:r>
          </w:p>
        </w:tc>
        <w:tc>
          <w:tcPr>
            <w:tcW w:w="1134" w:type="dxa"/>
            <w:tcBorders>
              <w:top w:val="single" w:sz="4" w:space="0" w:color="auto"/>
            </w:tcBorders>
            <w:shd w:val="clear" w:color="auto" w:fill="FFFFFF"/>
            <w:vAlign w:val="center"/>
          </w:tcPr>
          <w:p w14:paraId="54F59C56"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,000</w:t>
            </w:r>
          </w:p>
        </w:tc>
      </w:tr>
      <w:tr w:rsidR="005748E2" w14:paraId="6C77BF80" w14:textId="77777777">
        <w:trPr>
          <w:cantSplit/>
          <w:jc w:val="center"/>
        </w:trPr>
        <w:tc>
          <w:tcPr>
            <w:tcW w:w="1286" w:type="dxa"/>
            <w:vMerge/>
            <w:tcBorders>
              <w:bottom w:val="single" w:sz="4" w:space="0" w:color="auto"/>
            </w:tcBorders>
            <w:shd w:val="clear" w:color="auto" w:fill="FFFFFF"/>
          </w:tcPr>
          <w:p w14:paraId="31E2C328" w14:textId="77777777" w:rsidR="005748E2" w:rsidRDefault="005748E2">
            <w:pPr>
              <w:rPr>
                <w:rFonts w:ascii="Book Antiqua" w:hAnsi="Book Antiqua" w:cs="Arial"/>
                <w:sz w:val="18"/>
                <w:szCs w:val="18"/>
                <w:lang w:val="en-GB" w:eastAsia="en-GB"/>
              </w:rPr>
            </w:pPr>
          </w:p>
        </w:tc>
        <w:tc>
          <w:tcPr>
            <w:tcW w:w="1487" w:type="dxa"/>
            <w:tcBorders>
              <w:bottom w:val="single" w:sz="4" w:space="0" w:color="auto"/>
            </w:tcBorders>
            <w:shd w:val="clear" w:color="auto" w:fill="FFFFFF"/>
          </w:tcPr>
          <w:p w14:paraId="6365A33B" w14:textId="77777777" w:rsidR="005748E2" w:rsidRDefault="004B2E2B">
            <w:pPr>
              <w:ind w:left="60" w:right="60"/>
              <w:rPr>
                <w:rFonts w:ascii="Book Antiqua" w:hAnsi="Book Antiqua" w:cs="Arial"/>
                <w:sz w:val="18"/>
                <w:szCs w:val="18"/>
                <w:lang w:val="en-GB" w:eastAsia="en-GB"/>
              </w:rPr>
            </w:pPr>
            <w:r>
              <w:rPr>
                <w:rFonts w:ascii="Book Antiqua" w:hAnsi="Book Antiqua" w:cs="Arial"/>
                <w:sz w:val="18"/>
                <w:szCs w:val="18"/>
                <w:lang w:val="en-GB" w:eastAsia="en-GB"/>
              </w:rPr>
              <w:t>Promotion Cost</w:t>
            </w:r>
          </w:p>
        </w:tc>
        <w:tc>
          <w:tcPr>
            <w:tcW w:w="1442" w:type="dxa"/>
            <w:tcBorders>
              <w:bottom w:val="single" w:sz="4" w:space="0" w:color="auto"/>
            </w:tcBorders>
            <w:shd w:val="clear" w:color="auto" w:fill="FFFFFF"/>
            <w:vAlign w:val="center"/>
          </w:tcPr>
          <w:p w14:paraId="4D33F622"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203,726</w:t>
            </w:r>
          </w:p>
        </w:tc>
        <w:tc>
          <w:tcPr>
            <w:tcW w:w="1382" w:type="dxa"/>
            <w:tcBorders>
              <w:bottom w:val="single" w:sz="4" w:space="0" w:color="auto"/>
            </w:tcBorders>
            <w:shd w:val="clear" w:color="auto" w:fill="FFFFFF"/>
            <w:vAlign w:val="center"/>
          </w:tcPr>
          <w:p w14:paraId="5D765F2D"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133,752</w:t>
            </w:r>
          </w:p>
        </w:tc>
        <w:tc>
          <w:tcPr>
            <w:tcW w:w="1442" w:type="dxa"/>
            <w:tcBorders>
              <w:bottom w:val="single" w:sz="4" w:space="0" w:color="auto"/>
            </w:tcBorders>
            <w:shd w:val="clear" w:color="auto" w:fill="FFFFFF"/>
            <w:vAlign w:val="center"/>
          </w:tcPr>
          <w:p w14:paraId="212E1F9C"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,196</w:t>
            </w:r>
          </w:p>
        </w:tc>
        <w:tc>
          <w:tcPr>
            <w:tcW w:w="758" w:type="dxa"/>
            <w:tcBorders>
              <w:bottom w:val="single" w:sz="4" w:space="0" w:color="auto"/>
            </w:tcBorders>
            <w:shd w:val="clear" w:color="auto" w:fill="FFFFFF"/>
            <w:vAlign w:val="center"/>
          </w:tcPr>
          <w:p w14:paraId="017F6A7C"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1,523</w:t>
            </w:r>
          </w:p>
        </w:tc>
        <w:tc>
          <w:tcPr>
            <w:tcW w:w="1134" w:type="dxa"/>
            <w:tcBorders>
              <w:bottom w:val="single" w:sz="4" w:space="0" w:color="auto"/>
            </w:tcBorders>
            <w:shd w:val="clear" w:color="auto" w:fill="FFFFFF"/>
            <w:vAlign w:val="center"/>
          </w:tcPr>
          <w:p w14:paraId="1024BD1D" w14:textId="77777777" w:rsidR="005748E2" w:rsidRDefault="004B2E2B">
            <w:pPr>
              <w:ind w:left="60" w:right="60"/>
              <w:jc w:val="right"/>
              <w:rPr>
                <w:rFonts w:ascii="Book Antiqua" w:hAnsi="Book Antiqua" w:cs="Arial"/>
                <w:sz w:val="18"/>
                <w:szCs w:val="18"/>
                <w:lang w:val="en-GB" w:eastAsia="en-GB"/>
              </w:rPr>
            </w:pPr>
            <w:r>
              <w:rPr>
                <w:rFonts w:ascii="Book Antiqua" w:hAnsi="Book Antiqua" w:cs="Arial"/>
                <w:sz w:val="18"/>
                <w:szCs w:val="18"/>
                <w:lang w:val="en-GB" w:eastAsia="en-GB"/>
              </w:rPr>
              <w:t>,133</w:t>
            </w:r>
          </w:p>
        </w:tc>
      </w:tr>
      <w:tr w:rsidR="005748E2" w14:paraId="3C5CE733" w14:textId="77777777">
        <w:trPr>
          <w:cantSplit/>
          <w:jc w:val="center"/>
        </w:trPr>
        <w:tc>
          <w:tcPr>
            <w:tcW w:w="8931" w:type="dxa"/>
            <w:gridSpan w:val="7"/>
            <w:shd w:val="clear" w:color="auto" w:fill="FFFFFF"/>
          </w:tcPr>
          <w:p w14:paraId="48FA7F28" w14:textId="77777777" w:rsidR="005748E2" w:rsidRDefault="004B2E2B">
            <w:pPr>
              <w:ind w:left="60" w:right="60"/>
              <w:rPr>
                <w:rFonts w:ascii="Book Antiqua" w:hAnsi="Book Antiqua" w:cs="Arial"/>
                <w:sz w:val="18"/>
                <w:szCs w:val="18"/>
                <w:lang w:val="en-GB" w:eastAsia="en-GB"/>
              </w:rPr>
            </w:pPr>
            <w:r>
              <w:rPr>
                <w:rFonts w:ascii="Book Antiqua" w:hAnsi="Book Antiqua" w:cs="Arial"/>
                <w:sz w:val="18"/>
                <w:szCs w:val="18"/>
                <w:lang w:val="en-GB" w:eastAsia="en-GB"/>
              </w:rPr>
              <w:t>a. Dependent Variable: DPK</w:t>
            </w:r>
          </w:p>
          <w:p w14:paraId="4CED081C" w14:textId="77777777" w:rsidR="005748E2" w:rsidRDefault="005748E2">
            <w:pPr>
              <w:ind w:left="60" w:right="60"/>
              <w:rPr>
                <w:rFonts w:ascii="Book Antiqua" w:hAnsi="Book Antiqua" w:cs="Arial"/>
                <w:sz w:val="18"/>
                <w:szCs w:val="18"/>
                <w:lang w:val="en-GB" w:eastAsia="en-GB"/>
              </w:rPr>
            </w:pPr>
          </w:p>
        </w:tc>
      </w:tr>
    </w:tbl>
    <w:p w14:paraId="4F2A9EED" w14:textId="591C6D60" w:rsidR="005748E2" w:rsidRDefault="004B2E2B" w:rsidP="00DB5F5C">
      <w:pPr>
        <w:tabs>
          <w:tab w:val="left" w:pos="426"/>
        </w:tabs>
        <w:jc w:val="center"/>
        <w:rPr>
          <w:rFonts w:ascii="Book Antiqua" w:hAnsi="Book Antiqua" w:cs="Arial"/>
          <w:sz w:val="32"/>
          <w:szCs w:val="32"/>
          <w:lang w:val="id-ID"/>
        </w:rPr>
      </w:pPr>
      <w:r>
        <w:rPr>
          <w:rFonts w:ascii="Book Antiqua" w:hAnsi="Book Antiqua" w:cs="Arial"/>
          <w:sz w:val="32"/>
          <w:szCs w:val="32"/>
          <w:lang w:val="id-ID"/>
        </w:rPr>
        <w:t>CONCLUSION</w:t>
      </w:r>
    </w:p>
    <w:p w14:paraId="311FC4FD" w14:textId="77777777" w:rsidR="005748E2" w:rsidRPr="00DB5F5C" w:rsidRDefault="004B2E2B">
      <w:pPr>
        <w:jc w:val="both"/>
        <w:rPr>
          <w:rFonts w:ascii="Book Antiqua" w:hAnsi="Book Antiqua" w:cs="Arial"/>
          <w:lang w:val="id-ID"/>
        </w:rPr>
      </w:pPr>
      <w:r w:rsidRPr="00DB5F5C">
        <w:rPr>
          <w:rFonts w:ascii="Book Antiqua" w:hAnsi="Book Antiqua" w:cs="Arial"/>
          <w:lang w:val="id-ID"/>
        </w:rPr>
        <w:t xml:space="preserve">The results of this study indicate that there is a positive influence between Promotion Costs and Third Party Funds when looking at the results of the Regression equation, however the results of Determination Analysis show that the relationship is very small (weak) and can even be considered non-existent. Even Correlation Analysis shows unequivocally that there is no relationship between Promotion Costs and Third Party Funds. Based on the two previous studies at Bank Permata coupled with research at Bank BRI Syariah showing the same results, it can be concluded that the Promotional Costs carried out by the Bank (Service Company) do not aim to increase Revenue and attract customers to want to keep their money in the bank. However, in Trade and Industrial companies it may have an influence but it must be proven first by conducting </w:t>
      </w:r>
      <w:r w:rsidRPr="00DB5F5C">
        <w:rPr>
          <w:rFonts w:ascii="Book Antiqua" w:hAnsi="Book Antiqua" w:cs="Arial"/>
          <w:lang w:val="id-ID"/>
        </w:rPr>
        <w:lastRenderedPageBreak/>
        <w:t>research. However, from the author's experience, it can be argued that Promotional Costs are more emphasized to build the company's image and show its existence.</w:t>
      </w:r>
    </w:p>
    <w:p w14:paraId="5EEF49FA" w14:textId="0D61F86B" w:rsidR="003751AA" w:rsidRPr="00DB5F5C" w:rsidRDefault="003751AA">
      <w:pPr>
        <w:jc w:val="both"/>
        <w:rPr>
          <w:rFonts w:ascii="Book Antiqua" w:hAnsi="Book Antiqua" w:cs="Arial"/>
        </w:rPr>
      </w:pPr>
      <w:r w:rsidRPr="00DB5F5C">
        <w:rPr>
          <w:rFonts w:ascii="Book Antiqua" w:hAnsi="Book Antiqua" w:cs="Arial"/>
        </w:rPr>
        <w:tab/>
        <w:t>Based on the 3 previous studies, the authors concluded that promotional costs have a positive effect on Third Party Funds with very small presentations.</w:t>
      </w:r>
      <w:r w:rsidR="00E057A6" w:rsidRPr="00DB5F5C">
        <w:rPr>
          <w:rFonts w:ascii="Book Antiqua" w:hAnsi="Book Antiqua" w:cs="Arial"/>
        </w:rPr>
        <w:t xml:space="preserve"> However, the company that the author examined came from a company engaged in banking services. For further analysis, the author will conduct research on promotional costs at trading or industrial companies. This is to strengthen the author's suspicion regarding the influence of promotion costs on company income.</w:t>
      </w:r>
    </w:p>
    <w:p w14:paraId="2AD4DE0D" w14:textId="77777777" w:rsidR="005748E2" w:rsidRPr="00DB5F5C" w:rsidRDefault="005748E2">
      <w:pPr>
        <w:jc w:val="both"/>
        <w:rPr>
          <w:rFonts w:ascii="Book Antiqua" w:hAnsi="Book Antiqua" w:cs="Arial"/>
        </w:rPr>
      </w:pPr>
    </w:p>
    <w:p w14:paraId="43575EC8" w14:textId="77777777" w:rsidR="005748E2" w:rsidRDefault="005748E2">
      <w:pPr>
        <w:jc w:val="both"/>
        <w:rPr>
          <w:rStyle w:val="apple-style-span"/>
          <w:rFonts w:ascii="Book Antiqua" w:hAnsi="Book Antiqua" w:cs="Arial"/>
          <w:sz w:val="18"/>
          <w:szCs w:val="18"/>
        </w:rPr>
      </w:pPr>
    </w:p>
    <w:p w14:paraId="09DBF221" w14:textId="77777777" w:rsidR="005748E2" w:rsidRDefault="004B2E2B">
      <w:pPr>
        <w:rPr>
          <w:rFonts w:ascii="Book Antiqua" w:hAnsi="Book Antiqua" w:cs="Arial"/>
          <w:bCs/>
          <w:color w:val="000000"/>
          <w:sz w:val="32"/>
          <w:szCs w:val="32"/>
          <w:lang w:val="pt-BR"/>
        </w:rPr>
      </w:pPr>
      <w:r>
        <w:rPr>
          <w:rStyle w:val="apple-style-span"/>
          <w:rFonts w:ascii="Book Antiqua" w:hAnsi="Book Antiqua" w:cs="Arial"/>
          <w:bCs/>
          <w:color w:val="000000"/>
          <w:sz w:val="32"/>
          <w:szCs w:val="32"/>
          <w:lang w:val="pt-BR"/>
        </w:rPr>
        <w:t>References</w:t>
      </w:r>
    </w:p>
    <w:p w14:paraId="55E49CCD" w14:textId="77777777" w:rsidR="005748E2" w:rsidRPr="00761E51" w:rsidRDefault="004B2E2B" w:rsidP="00761E51">
      <w:pPr>
        <w:widowControl w:val="0"/>
        <w:ind w:left="709" w:hanging="709"/>
        <w:jc w:val="both"/>
        <w:rPr>
          <w:rFonts w:ascii="Book Antiqua" w:hAnsi="Book Antiqua"/>
          <w:noProof/>
          <w:sz w:val="18"/>
          <w:szCs w:val="18"/>
          <w:lang w:val="sv-SE"/>
        </w:rPr>
      </w:pPr>
      <w:r w:rsidRPr="00761E51">
        <w:rPr>
          <w:b/>
          <w:sz w:val="18"/>
          <w:szCs w:val="18"/>
        </w:rPr>
        <w:fldChar w:fldCharType="begin"/>
      </w:r>
      <w:r w:rsidRPr="00761E51">
        <w:rPr>
          <w:b/>
          <w:sz w:val="18"/>
          <w:szCs w:val="18"/>
          <w:lang w:val="sv-SE"/>
        </w:rPr>
        <w:instrText xml:space="preserve">ADDIN Mendeley Bibliography CSL_BIBLIOGRAPHY </w:instrText>
      </w:r>
      <w:r w:rsidRPr="00761E51">
        <w:rPr>
          <w:b/>
          <w:sz w:val="18"/>
          <w:szCs w:val="18"/>
        </w:rPr>
        <w:fldChar w:fldCharType="separate"/>
      </w:r>
      <w:r w:rsidRPr="00761E51">
        <w:rPr>
          <w:rFonts w:ascii="Book Antiqua" w:hAnsi="Book Antiqua"/>
          <w:noProof/>
          <w:sz w:val="18"/>
          <w:szCs w:val="18"/>
          <w:lang w:val="sv-SE"/>
        </w:rPr>
        <w:t xml:space="preserve">Andri Soemitra, M. A. (2017). </w:t>
      </w:r>
      <w:r w:rsidRPr="00761E51">
        <w:rPr>
          <w:rFonts w:ascii="Book Antiqua" w:hAnsi="Book Antiqua"/>
          <w:i/>
          <w:iCs/>
          <w:noProof/>
          <w:sz w:val="18"/>
          <w:szCs w:val="18"/>
          <w:lang w:val="sv-SE"/>
        </w:rPr>
        <w:t>Bank &amp; Lembaga Keuangan Syariah</w:t>
      </w:r>
      <w:r w:rsidRPr="00761E51">
        <w:rPr>
          <w:rFonts w:ascii="Book Antiqua" w:hAnsi="Book Antiqua"/>
          <w:noProof/>
          <w:sz w:val="18"/>
          <w:szCs w:val="18"/>
          <w:lang w:val="sv-SE"/>
        </w:rPr>
        <w:t xml:space="preserve">. Prenada Media. </w:t>
      </w:r>
    </w:p>
    <w:p w14:paraId="3E6042E2" w14:textId="77777777" w:rsidR="005748E2" w:rsidRPr="00761E51" w:rsidRDefault="004B2E2B" w:rsidP="00761E51">
      <w:pPr>
        <w:widowControl w:val="0"/>
        <w:ind w:left="709" w:hanging="709"/>
        <w:jc w:val="both"/>
        <w:rPr>
          <w:rFonts w:ascii="Book Antiqua" w:hAnsi="Book Antiqua"/>
          <w:i/>
          <w:iCs/>
          <w:noProof/>
          <w:sz w:val="18"/>
          <w:szCs w:val="18"/>
          <w:lang w:val="sv-SE"/>
        </w:rPr>
      </w:pPr>
      <w:r w:rsidRPr="00761E51">
        <w:rPr>
          <w:rFonts w:ascii="Book Antiqua" w:hAnsi="Book Antiqua"/>
          <w:noProof/>
          <w:sz w:val="18"/>
          <w:szCs w:val="18"/>
          <w:lang w:val="sv-SE"/>
        </w:rPr>
        <w:t xml:space="preserve">Andrianto, S. E. M. A., &amp; Dr. M. Anang Firmansyah, S. E. M. M. (2019). </w:t>
      </w:r>
      <w:r w:rsidRPr="00761E51">
        <w:rPr>
          <w:rFonts w:ascii="Book Antiqua" w:hAnsi="Book Antiqua"/>
          <w:i/>
          <w:iCs/>
          <w:noProof/>
          <w:sz w:val="18"/>
          <w:szCs w:val="18"/>
          <w:lang w:val="sv-SE"/>
        </w:rPr>
        <w:t xml:space="preserve">Manajemen     Bank Syariah. Penerbit Qiara Media. </w:t>
      </w:r>
    </w:p>
    <w:p w14:paraId="0186A53B" w14:textId="25AEC561" w:rsidR="00957D42" w:rsidRPr="00761E51" w:rsidRDefault="00957D42" w:rsidP="00761E51">
      <w:pPr>
        <w:widowControl w:val="0"/>
        <w:ind w:left="709" w:hanging="709"/>
        <w:jc w:val="both"/>
        <w:rPr>
          <w:rFonts w:ascii="Book Antiqua" w:hAnsi="Book Antiqua"/>
          <w:noProof/>
          <w:sz w:val="18"/>
          <w:szCs w:val="18"/>
          <w:lang w:val="sv-SE"/>
        </w:rPr>
      </w:pPr>
      <w:r w:rsidRPr="00761E51">
        <w:rPr>
          <w:sz w:val="18"/>
          <w:szCs w:val="18"/>
        </w:rPr>
        <w:t>Billy Arma Pratama, 2010. Faktor-Faktor yang Mempengaruhi Kebijakan Penyaluran Kredit Perbankan (Studi Kasus pada Bank Umum di Indonesia periode 2005-2009). Tesis Program Studi Magister Manajemen Universitas Dipenogoro Semarang</w:t>
      </w:r>
    </w:p>
    <w:p w14:paraId="0DF2ACD9" w14:textId="77777777" w:rsidR="005748E2" w:rsidRPr="00761E51" w:rsidRDefault="004B2E2B" w:rsidP="00761E51">
      <w:pPr>
        <w:widowControl w:val="0"/>
        <w:ind w:left="709" w:hanging="709"/>
        <w:jc w:val="both"/>
        <w:rPr>
          <w:rFonts w:ascii="Book Antiqua" w:hAnsi="Book Antiqua"/>
          <w:noProof/>
          <w:sz w:val="18"/>
          <w:szCs w:val="18"/>
          <w:lang w:val="sv-SE"/>
        </w:rPr>
      </w:pPr>
      <w:r w:rsidRPr="00761E51">
        <w:rPr>
          <w:rFonts w:ascii="Book Antiqua" w:hAnsi="Book Antiqua"/>
          <w:noProof/>
          <w:sz w:val="18"/>
          <w:szCs w:val="18"/>
          <w:lang w:val="sv-SE"/>
        </w:rPr>
        <w:t xml:space="preserve">Dr. H. Fajri Ismail, M. P. (2018). </w:t>
      </w:r>
      <w:r w:rsidRPr="00761E51">
        <w:rPr>
          <w:rFonts w:ascii="Book Antiqua" w:hAnsi="Book Antiqua"/>
          <w:i/>
          <w:iCs/>
          <w:noProof/>
          <w:sz w:val="18"/>
          <w:szCs w:val="18"/>
          <w:lang w:val="sv-SE"/>
        </w:rPr>
        <w:t>Statistika Untuk Penelitian Pendidikan dan Ilmu-Ilmu Sosial</w:t>
      </w:r>
      <w:r w:rsidRPr="00761E51">
        <w:rPr>
          <w:rFonts w:ascii="Book Antiqua" w:hAnsi="Book Antiqua"/>
          <w:noProof/>
          <w:sz w:val="18"/>
          <w:szCs w:val="18"/>
          <w:lang w:val="sv-SE"/>
        </w:rPr>
        <w:t xml:space="preserve">. Kencana. </w:t>
      </w:r>
    </w:p>
    <w:p w14:paraId="31DDC505" w14:textId="77777777" w:rsidR="005748E2" w:rsidRPr="00761E51" w:rsidRDefault="004B2E2B" w:rsidP="00761E51">
      <w:pPr>
        <w:widowControl w:val="0"/>
        <w:tabs>
          <w:tab w:val="left" w:pos="1134"/>
        </w:tabs>
        <w:ind w:left="709" w:hanging="709"/>
        <w:jc w:val="both"/>
        <w:rPr>
          <w:rFonts w:ascii="Book Antiqua" w:hAnsi="Book Antiqua"/>
          <w:noProof/>
          <w:sz w:val="18"/>
          <w:szCs w:val="18"/>
          <w:lang w:val="sv-SE"/>
        </w:rPr>
      </w:pPr>
      <w:r w:rsidRPr="00761E51">
        <w:rPr>
          <w:rFonts w:ascii="Book Antiqua" w:hAnsi="Book Antiqua"/>
          <w:noProof/>
          <w:sz w:val="18"/>
          <w:szCs w:val="18"/>
          <w:lang w:val="sv-SE"/>
        </w:rPr>
        <w:t xml:space="preserve">Dr. M. Syahirman Yusi, M. S., &amp; Dr. Umiyati Idris, M. S. (2020). </w:t>
      </w:r>
      <w:r w:rsidRPr="00761E51">
        <w:rPr>
          <w:rFonts w:ascii="Book Antiqua" w:hAnsi="Book Antiqua"/>
          <w:i/>
          <w:iCs/>
          <w:noProof/>
          <w:sz w:val="18"/>
          <w:szCs w:val="18"/>
          <w:lang w:val="sv-SE"/>
        </w:rPr>
        <w:t>Statistika untuk Ekonomi, Bisnis, &amp; Sosial</w:t>
      </w:r>
      <w:r w:rsidRPr="00761E51">
        <w:rPr>
          <w:rFonts w:ascii="Book Antiqua" w:hAnsi="Book Antiqua"/>
          <w:noProof/>
          <w:sz w:val="18"/>
          <w:szCs w:val="18"/>
          <w:lang w:val="sv-SE"/>
        </w:rPr>
        <w:t xml:space="preserve">. Penerbit Andi. </w:t>
      </w:r>
    </w:p>
    <w:p w14:paraId="23DC0F89" w14:textId="77777777" w:rsidR="005748E2" w:rsidRPr="00761E51" w:rsidRDefault="004B2E2B" w:rsidP="00761E51">
      <w:pPr>
        <w:widowControl w:val="0"/>
        <w:ind w:left="709" w:hanging="709"/>
        <w:jc w:val="both"/>
        <w:rPr>
          <w:rFonts w:ascii="Book Antiqua" w:hAnsi="Book Antiqua"/>
          <w:noProof/>
          <w:sz w:val="18"/>
          <w:szCs w:val="18"/>
          <w:lang w:val="sv-SE"/>
        </w:rPr>
      </w:pPr>
      <w:r w:rsidRPr="00761E51">
        <w:rPr>
          <w:rFonts w:ascii="Book Antiqua" w:hAnsi="Book Antiqua"/>
          <w:noProof/>
          <w:sz w:val="18"/>
          <w:szCs w:val="18"/>
          <w:lang w:val="sv-SE"/>
        </w:rPr>
        <w:t xml:space="preserve">Dr. Sri Wahyuni, S. E. M. S. (2020). </w:t>
      </w:r>
      <w:r w:rsidRPr="00761E51">
        <w:rPr>
          <w:rFonts w:ascii="Book Antiqua" w:hAnsi="Book Antiqua"/>
          <w:i/>
          <w:iCs/>
          <w:noProof/>
          <w:sz w:val="18"/>
          <w:szCs w:val="18"/>
          <w:lang w:val="sv-SE"/>
        </w:rPr>
        <w:t>PERBANKAN SYARIAH: PENDEKATAN PENILAIAN KINERJA</w:t>
      </w:r>
      <w:r w:rsidRPr="00761E51">
        <w:rPr>
          <w:rFonts w:ascii="Book Antiqua" w:hAnsi="Book Antiqua"/>
          <w:noProof/>
          <w:sz w:val="18"/>
          <w:szCs w:val="18"/>
          <w:lang w:val="sv-SE"/>
        </w:rPr>
        <w:t xml:space="preserve">. Penerbit Qiara Media. </w:t>
      </w:r>
    </w:p>
    <w:p w14:paraId="4C4CAF85" w14:textId="77777777" w:rsidR="005748E2" w:rsidRPr="00761E51" w:rsidRDefault="004B2E2B" w:rsidP="00761E51">
      <w:pPr>
        <w:widowControl w:val="0"/>
        <w:ind w:left="709" w:hanging="709"/>
        <w:jc w:val="both"/>
        <w:rPr>
          <w:rFonts w:ascii="Book Antiqua" w:hAnsi="Book Antiqua"/>
          <w:noProof/>
          <w:sz w:val="18"/>
          <w:szCs w:val="18"/>
          <w:lang w:val="sv-SE"/>
        </w:rPr>
      </w:pPr>
      <w:r w:rsidRPr="00761E51">
        <w:rPr>
          <w:rFonts w:ascii="Book Antiqua" w:hAnsi="Book Antiqua"/>
          <w:noProof/>
          <w:sz w:val="18"/>
          <w:szCs w:val="18"/>
          <w:lang w:val="sv-SE"/>
        </w:rPr>
        <w:t xml:space="preserve">Drs. Ismail, MBA., A. (2017). </w:t>
      </w:r>
      <w:r w:rsidRPr="00761E51">
        <w:rPr>
          <w:rFonts w:ascii="Book Antiqua" w:hAnsi="Book Antiqua"/>
          <w:i/>
          <w:iCs/>
          <w:noProof/>
          <w:sz w:val="18"/>
          <w:szCs w:val="18"/>
          <w:lang w:val="sv-SE"/>
        </w:rPr>
        <w:t>Perbankan Syariah</w:t>
      </w:r>
      <w:r w:rsidRPr="00761E51">
        <w:rPr>
          <w:rFonts w:ascii="Book Antiqua" w:hAnsi="Book Antiqua"/>
          <w:noProof/>
          <w:sz w:val="18"/>
          <w:szCs w:val="18"/>
          <w:lang w:val="sv-SE"/>
        </w:rPr>
        <w:t xml:space="preserve"> (Cetakan ke-5). Kencana.</w:t>
      </w:r>
    </w:p>
    <w:p w14:paraId="34F6565C" w14:textId="77777777" w:rsidR="005748E2" w:rsidRPr="00761E51" w:rsidRDefault="004B2E2B" w:rsidP="00761E51">
      <w:pPr>
        <w:widowControl w:val="0"/>
        <w:ind w:left="709" w:hanging="709"/>
        <w:jc w:val="both"/>
        <w:rPr>
          <w:rFonts w:ascii="Book Antiqua" w:hAnsi="Book Antiqua"/>
          <w:noProof/>
          <w:sz w:val="18"/>
          <w:szCs w:val="18"/>
        </w:rPr>
      </w:pPr>
      <w:r w:rsidRPr="00761E51">
        <w:rPr>
          <w:rFonts w:ascii="Book Antiqua" w:hAnsi="Book Antiqua"/>
          <w:noProof/>
          <w:sz w:val="18"/>
          <w:szCs w:val="18"/>
          <w:lang w:val="sv-SE"/>
        </w:rPr>
        <w:t xml:space="preserve">Hapsila, I. A. A. (2015). </w:t>
      </w:r>
      <w:r w:rsidRPr="00761E51">
        <w:rPr>
          <w:rFonts w:ascii="Book Antiqua" w:hAnsi="Book Antiqua"/>
          <w:i/>
          <w:iCs/>
          <w:noProof/>
          <w:sz w:val="18"/>
          <w:szCs w:val="18"/>
          <w:lang w:val="sv-SE"/>
        </w:rPr>
        <w:t>Manajemen Perbankan</w:t>
      </w:r>
      <w:r w:rsidRPr="00761E51">
        <w:rPr>
          <w:rFonts w:ascii="Book Antiqua" w:hAnsi="Book Antiqua"/>
          <w:noProof/>
          <w:sz w:val="18"/>
          <w:szCs w:val="18"/>
          <w:lang w:val="sv-SE"/>
        </w:rPr>
        <w:t xml:space="preserve">. </w:t>
      </w:r>
      <w:r w:rsidRPr="00761E51">
        <w:rPr>
          <w:rFonts w:ascii="Book Antiqua" w:hAnsi="Book Antiqua"/>
          <w:noProof/>
          <w:sz w:val="18"/>
          <w:szCs w:val="18"/>
        </w:rPr>
        <w:t xml:space="preserve">Deepublish. </w:t>
      </w:r>
    </w:p>
    <w:p w14:paraId="695BE77A" w14:textId="77777777" w:rsidR="005748E2" w:rsidRPr="00761E51" w:rsidRDefault="004B2E2B" w:rsidP="00761E51">
      <w:pPr>
        <w:widowControl w:val="0"/>
        <w:ind w:left="709" w:hanging="709"/>
        <w:jc w:val="both"/>
        <w:rPr>
          <w:rFonts w:ascii="Book Antiqua" w:hAnsi="Book Antiqua"/>
          <w:noProof/>
          <w:sz w:val="18"/>
          <w:szCs w:val="18"/>
        </w:rPr>
      </w:pPr>
      <w:r w:rsidRPr="00761E51">
        <w:rPr>
          <w:rFonts w:ascii="Book Antiqua" w:hAnsi="Book Antiqua"/>
          <w:noProof/>
          <w:sz w:val="18"/>
          <w:szCs w:val="18"/>
        </w:rPr>
        <w:t xml:space="preserve">Hidayah, S. nur. (2019). </w:t>
      </w:r>
      <w:r w:rsidRPr="00761E51">
        <w:rPr>
          <w:rFonts w:ascii="Book Antiqua" w:hAnsi="Book Antiqua"/>
          <w:i/>
          <w:iCs/>
          <w:noProof/>
          <w:sz w:val="18"/>
          <w:szCs w:val="18"/>
        </w:rPr>
        <w:t>Tugas akhir</w:t>
      </w:r>
      <w:r w:rsidRPr="00761E51">
        <w:rPr>
          <w:rFonts w:ascii="Book Antiqua" w:hAnsi="Book Antiqua"/>
          <w:noProof/>
          <w:sz w:val="18"/>
          <w:szCs w:val="18"/>
        </w:rPr>
        <w:t>. https://doi.org/10.31227/osf.io/n4f68</w:t>
      </w:r>
    </w:p>
    <w:p w14:paraId="05CC2E48" w14:textId="77777777" w:rsidR="005748E2" w:rsidRPr="00761E51" w:rsidRDefault="004B2E2B" w:rsidP="00761E51">
      <w:pPr>
        <w:widowControl w:val="0"/>
        <w:ind w:left="709" w:hanging="709"/>
        <w:jc w:val="both"/>
        <w:rPr>
          <w:rFonts w:ascii="Book Antiqua" w:hAnsi="Book Antiqua"/>
          <w:noProof/>
          <w:sz w:val="18"/>
          <w:szCs w:val="18"/>
          <w:lang w:val="id-ID"/>
        </w:rPr>
      </w:pPr>
      <w:r w:rsidRPr="00761E51">
        <w:rPr>
          <w:rFonts w:ascii="Book Antiqua" w:hAnsi="Book Antiqua"/>
          <w:noProof/>
          <w:sz w:val="18"/>
          <w:szCs w:val="18"/>
          <w:lang w:val="sv-SE"/>
        </w:rPr>
        <w:t xml:space="preserve">Indrawan, H. E., &amp; Givan, B. (2019). Biaya Promosi dan Biaya Dana Berpengaruh terhadap Dana Pihak Ketiga Bank Permata Jakarta. </w:t>
      </w:r>
      <w:r w:rsidRPr="00761E51">
        <w:rPr>
          <w:rFonts w:ascii="Book Antiqua" w:hAnsi="Book Antiqua"/>
          <w:i/>
          <w:iCs/>
          <w:noProof/>
          <w:sz w:val="18"/>
          <w:szCs w:val="18"/>
          <w:lang w:val="sv-SE"/>
        </w:rPr>
        <w:t>Perspektif</w:t>
      </w:r>
      <w:r w:rsidRPr="00761E51">
        <w:rPr>
          <w:rFonts w:ascii="Book Antiqua" w:hAnsi="Book Antiqua"/>
          <w:noProof/>
          <w:sz w:val="18"/>
          <w:szCs w:val="18"/>
          <w:lang w:val="sv-SE"/>
        </w:rPr>
        <w:t xml:space="preserve">, </w:t>
      </w:r>
      <w:r w:rsidRPr="00761E51">
        <w:rPr>
          <w:rFonts w:ascii="Book Antiqua" w:hAnsi="Book Antiqua"/>
          <w:i/>
          <w:iCs/>
          <w:noProof/>
          <w:sz w:val="18"/>
          <w:szCs w:val="18"/>
          <w:lang w:val="sv-SE"/>
        </w:rPr>
        <w:t>17</w:t>
      </w:r>
      <w:r w:rsidRPr="00761E51">
        <w:rPr>
          <w:rFonts w:ascii="Book Antiqua" w:hAnsi="Book Antiqua"/>
          <w:noProof/>
          <w:sz w:val="18"/>
          <w:szCs w:val="18"/>
          <w:lang w:val="sv-SE"/>
        </w:rPr>
        <w:t>(2), 176–183.</w:t>
      </w:r>
    </w:p>
    <w:p w14:paraId="05183669" w14:textId="77777777" w:rsidR="005748E2" w:rsidRPr="00761E51" w:rsidRDefault="004B2E2B" w:rsidP="00761E51">
      <w:pPr>
        <w:widowControl w:val="0"/>
        <w:ind w:left="709" w:hanging="709"/>
        <w:jc w:val="both"/>
        <w:rPr>
          <w:rFonts w:ascii="Book Antiqua" w:hAnsi="Book Antiqua"/>
          <w:noProof/>
          <w:sz w:val="18"/>
          <w:szCs w:val="18"/>
          <w:lang w:val="sv-SE"/>
        </w:rPr>
      </w:pPr>
      <w:r w:rsidRPr="00761E51">
        <w:rPr>
          <w:rFonts w:ascii="Book Antiqua" w:hAnsi="Book Antiqua"/>
          <w:noProof/>
          <w:sz w:val="18"/>
          <w:szCs w:val="18"/>
          <w:lang w:val="sv-SE"/>
        </w:rPr>
        <w:t xml:space="preserve">Indrawan, H. E., Nainggolan, Kaman. (2018). Biaya Bunga, Biaya Promosi dan Biaya Gaji  Karyawan Berpengaruh Terhadap Pendapatan Bunga Bersih Pada bank Permata Jakarta. </w:t>
      </w:r>
      <w:r w:rsidRPr="00761E51">
        <w:rPr>
          <w:rFonts w:ascii="Book Antiqua" w:hAnsi="Book Antiqua"/>
          <w:sz w:val="18"/>
          <w:szCs w:val="18"/>
          <w:lang w:val="sv-SE"/>
        </w:rPr>
        <w:t>Jurnal Administrasi Kantor, Vol.7, No.1, Juni 2019, 21-30.</w:t>
      </w:r>
    </w:p>
    <w:p w14:paraId="0CEBFABE" w14:textId="77777777" w:rsidR="005748E2" w:rsidRPr="00761E51" w:rsidRDefault="004B2E2B" w:rsidP="00761E51">
      <w:pPr>
        <w:widowControl w:val="0"/>
        <w:ind w:left="709" w:hanging="709"/>
        <w:jc w:val="both"/>
        <w:rPr>
          <w:rFonts w:ascii="Book Antiqua" w:hAnsi="Book Antiqua"/>
          <w:noProof/>
          <w:sz w:val="18"/>
          <w:szCs w:val="18"/>
          <w:lang w:val="sv-SE"/>
        </w:rPr>
      </w:pPr>
      <w:r w:rsidRPr="00761E51">
        <w:rPr>
          <w:rFonts w:ascii="Book Antiqua" w:hAnsi="Book Antiqua"/>
          <w:noProof/>
          <w:sz w:val="18"/>
          <w:szCs w:val="18"/>
          <w:lang w:val="sv-SE"/>
        </w:rPr>
        <w:t xml:space="preserve">Ir. Syofian Siregar, M. M. (2017). </w:t>
      </w:r>
      <w:r w:rsidRPr="00761E51">
        <w:rPr>
          <w:rFonts w:ascii="Book Antiqua" w:hAnsi="Book Antiqua"/>
          <w:i/>
          <w:iCs/>
          <w:noProof/>
          <w:sz w:val="18"/>
          <w:szCs w:val="18"/>
          <w:lang w:val="sv-SE"/>
        </w:rPr>
        <w:t xml:space="preserve">Metode Pemilihan Kuantitatif: Dilengkapi dengan </w:t>
      </w:r>
      <w:r w:rsidRPr="00761E51">
        <w:rPr>
          <w:rFonts w:ascii="Book Antiqua" w:hAnsi="Book Antiqua"/>
          <w:i/>
          <w:iCs/>
          <w:noProof/>
          <w:sz w:val="18"/>
          <w:szCs w:val="18"/>
          <w:lang w:val="id-ID"/>
        </w:rPr>
        <w:t xml:space="preserve"> </w:t>
      </w:r>
      <w:r w:rsidRPr="00761E51">
        <w:rPr>
          <w:rFonts w:ascii="Book Antiqua" w:hAnsi="Book Antiqua"/>
          <w:i/>
          <w:iCs/>
          <w:noProof/>
          <w:sz w:val="18"/>
          <w:szCs w:val="18"/>
          <w:lang w:val="sv-SE"/>
        </w:rPr>
        <w:t>Perbandingan Perhitungan Manual &amp; SPSS</w:t>
      </w:r>
      <w:r w:rsidRPr="00761E51">
        <w:rPr>
          <w:rFonts w:ascii="Book Antiqua" w:hAnsi="Book Antiqua"/>
          <w:noProof/>
          <w:sz w:val="18"/>
          <w:szCs w:val="18"/>
          <w:lang w:val="sv-SE"/>
        </w:rPr>
        <w:t xml:space="preserve">. Prenada Media. </w:t>
      </w:r>
    </w:p>
    <w:p w14:paraId="53FEFF06" w14:textId="77777777" w:rsidR="005748E2" w:rsidRPr="00761E51" w:rsidRDefault="004B2E2B" w:rsidP="00761E51">
      <w:pPr>
        <w:widowControl w:val="0"/>
        <w:ind w:left="709" w:hanging="709"/>
        <w:jc w:val="both"/>
        <w:rPr>
          <w:rFonts w:ascii="Book Antiqua" w:hAnsi="Book Antiqua"/>
          <w:noProof/>
          <w:sz w:val="18"/>
          <w:szCs w:val="18"/>
          <w:lang w:val="sv-SE"/>
        </w:rPr>
      </w:pPr>
      <w:r w:rsidRPr="00761E51">
        <w:rPr>
          <w:rFonts w:ascii="Book Antiqua" w:hAnsi="Book Antiqua"/>
          <w:noProof/>
          <w:sz w:val="18"/>
          <w:szCs w:val="18"/>
          <w:lang w:val="sv-SE"/>
        </w:rPr>
        <w:t xml:space="preserve">Kasmir. (2016). </w:t>
      </w:r>
      <w:r w:rsidRPr="00761E51">
        <w:rPr>
          <w:rFonts w:ascii="Book Antiqua" w:hAnsi="Book Antiqua"/>
          <w:i/>
          <w:iCs/>
          <w:noProof/>
          <w:sz w:val="18"/>
          <w:szCs w:val="18"/>
          <w:lang w:val="sv-SE"/>
        </w:rPr>
        <w:t>Dasar - Dasar Perbankan</w:t>
      </w:r>
      <w:r w:rsidRPr="00761E51">
        <w:rPr>
          <w:rFonts w:ascii="Book Antiqua" w:hAnsi="Book Antiqua"/>
          <w:noProof/>
          <w:sz w:val="18"/>
          <w:szCs w:val="18"/>
          <w:lang w:val="sv-SE"/>
        </w:rPr>
        <w:t xml:space="preserve"> (Edisi Cetakan 14). RAJAWALI PERS.</w:t>
      </w:r>
    </w:p>
    <w:p w14:paraId="788A6543" w14:textId="77777777" w:rsidR="005748E2" w:rsidRPr="00761E51" w:rsidRDefault="004B2E2B" w:rsidP="00761E51">
      <w:pPr>
        <w:widowControl w:val="0"/>
        <w:ind w:left="709" w:hanging="709"/>
        <w:jc w:val="both"/>
        <w:rPr>
          <w:rFonts w:ascii="Book Antiqua" w:hAnsi="Book Antiqua"/>
          <w:noProof/>
          <w:sz w:val="18"/>
          <w:szCs w:val="18"/>
          <w:lang w:val="sv-SE"/>
        </w:rPr>
      </w:pPr>
      <w:r w:rsidRPr="00761E51">
        <w:rPr>
          <w:rFonts w:ascii="Book Antiqua" w:hAnsi="Book Antiqua"/>
          <w:noProof/>
          <w:sz w:val="18"/>
          <w:szCs w:val="18"/>
          <w:lang w:val="sv-SE"/>
        </w:rPr>
        <w:t xml:space="preserve">Kasmir. (2020). </w:t>
      </w:r>
      <w:r w:rsidRPr="00761E51">
        <w:rPr>
          <w:rFonts w:ascii="Book Antiqua" w:hAnsi="Book Antiqua"/>
          <w:i/>
          <w:iCs/>
          <w:noProof/>
          <w:sz w:val="18"/>
          <w:szCs w:val="18"/>
          <w:lang w:val="sv-SE"/>
        </w:rPr>
        <w:t>Bank dan Lembaga Keuangan Lainnya</w:t>
      </w:r>
      <w:r w:rsidRPr="00761E51">
        <w:rPr>
          <w:rFonts w:ascii="Book Antiqua" w:hAnsi="Book Antiqua"/>
          <w:noProof/>
          <w:sz w:val="18"/>
          <w:szCs w:val="18"/>
          <w:lang w:val="sv-SE"/>
        </w:rPr>
        <w:t xml:space="preserve"> (Revisi Cetakan 19). PT. Raja Grafindo Persada.</w:t>
      </w:r>
    </w:p>
    <w:p w14:paraId="34B1B9EE" w14:textId="094EB81B" w:rsidR="00DA5B39" w:rsidRPr="00761E51" w:rsidRDefault="00DA5B39" w:rsidP="00761E51">
      <w:pPr>
        <w:widowControl w:val="0"/>
        <w:ind w:left="709" w:hanging="709"/>
        <w:jc w:val="both"/>
        <w:rPr>
          <w:rFonts w:ascii="Book Antiqua" w:hAnsi="Book Antiqua"/>
          <w:noProof/>
          <w:sz w:val="18"/>
          <w:szCs w:val="18"/>
          <w:lang w:val="sv-SE"/>
        </w:rPr>
      </w:pPr>
      <w:r w:rsidRPr="00761E51">
        <w:rPr>
          <w:rFonts w:ascii="Book Antiqua" w:hAnsi="Book Antiqua"/>
          <w:noProof/>
          <w:sz w:val="18"/>
          <w:szCs w:val="18"/>
          <w:lang w:val="sv-SE"/>
        </w:rPr>
        <w:t>Lestari, Puji. (2009). Efektivitas Pengaruh Besaran Biaya Promosi dalam Penghimpunan Dana Pihak Ketiga.</w:t>
      </w:r>
    </w:p>
    <w:p w14:paraId="705BC49B" w14:textId="77777777" w:rsidR="005748E2" w:rsidRPr="00761E51" w:rsidRDefault="004B2E2B" w:rsidP="00761E51">
      <w:pPr>
        <w:widowControl w:val="0"/>
        <w:tabs>
          <w:tab w:val="left" w:pos="142"/>
        </w:tabs>
        <w:ind w:left="709" w:hanging="709"/>
        <w:jc w:val="both"/>
        <w:rPr>
          <w:rFonts w:ascii="Book Antiqua" w:hAnsi="Book Antiqua"/>
          <w:noProof/>
          <w:sz w:val="18"/>
          <w:szCs w:val="18"/>
          <w:lang w:val="sv-SE"/>
        </w:rPr>
      </w:pPr>
      <w:r w:rsidRPr="00761E51">
        <w:rPr>
          <w:rFonts w:ascii="Book Antiqua" w:hAnsi="Book Antiqua"/>
          <w:noProof/>
          <w:sz w:val="18"/>
          <w:szCs w:val="18"/>
          <w:lang w:val="sv-SE"/>
        </w:rPr>
        <w:t xml:space="preserve">Pembangunan, J. E., &amp; Ekonomi, F. (2018). Pengaruh Dana Pihak Ketiga, Loan To Deposit Ratio, Biaya Operasional Pendapatan Operasional Terhadap Return on Asset Bank Umum Di Indonesia Periode 2010.1-2017.4. </w:t>
      </w:r>
      <w:r w:rsidRPr="00761E51">
        <w:rPr>
          <w:rFonts w:ascii="Book Antiqua" w:hAnsi="Book Antiqua"/>
          <w:i/>
          <w:iCs/>
          <w:noProof/>
          <w:sz w:val="18"/>
          <w:szCs w:val="18"/>
          <w:lang w:val="sv-SE"/>
        </w:rPr>
        <w:t>Jurnal Berkala Ilmiah Efisiensi</w:t>
      </w:r>
      <w:r w:rsidRPr="00761E51">
        <w:rPr>
          <w:rFonts w:ascii="Book Antiqua" w:hAnsi="Book Antiqua"/>
          <w:noProof/>
          <w:sz w:val="18"/>
          <w:szCs w:val="18"/>
          <w:lang w:val="sv-SE"/>
        </w:rPr>
        <w:t xml:space="preserve">, </w:t>
      </w:r>
      <w:r w:rsidRPr="00761E51">
        <w:rPr>
          <w:rFonts w:ascii="Book Antiqua" w:hAnsi="Book Antiqua"/>
          <w:i/>
          <w:iCs/>
          <w:noProof/>
          <w:sz w:val="18"/>
          <w:szCs w:val="18"/>
          <w:lang w:val="sv-SE"/>
        </w:rPr>
        <w:t>18</w:t>
      </w:r>
      <w:r w:rsidRPr="00761E51">
        <w:rPr>
          <w:rFonts w:ascii="Book Antiqua" w:hAnsi="Book Antiqua"/>
          <w:noProof/>
          <w:sz w:val="18"/>
          <w:szCs w:val="18"/>
          <w:lang w:val="sv-SE"/>
        </w:rPr>
        <w:t>(2), 170–180.</w:t>
      </w:r>
    </w:p>
    <w:p w14:paraId="366A7E92" w14:textId="36BBBE5B" w:rsidR="009E7374" w:rsidRPr="00761E51" w:rsidRDefault="009E7374" w:rsidP="00761E51">
      <w:pPr>
        <w:widowControl w:val="0"/>
        <w:tabs>
          <w:tab w:val="left" w:pos="142"/>
        </w:tabs>
        <w:ind w:left="709" w:hanging="709"/>
        <w:jc w:val="both"/>
        <w:rPr>
          <w:rFonts w:ascii="Book Antiqua" w:hAnsi="Book Antiqua"/>
          <w:noProof/>
          <w:sz w:val="18"/>
          <w:szCs w:val="18"/>
          <w:lang w:val="sv-SE"/>
        </w:rPr>
      </w:pPr>
      <w:r w:rsidRPr="00761E51">
        <w:rPr>
          <w:rFonts w:ascii="Book Antiqua" w:hAnsi="Book Antiqua"/>
          <w:noProof/>
          <w:sz w:val="18"/>
          <w:szCs w:val="18"/>
          <w:lang w:val="sv-SE"/>
        </w:rPr>
        <w:t>Puspitasari, Elisa. (2014). Analisis Faktor-Faktor yang Mempengaruhi Net Interst Margin pada Bank-Bank Umum di Indonesia.</w:t>
      </w:r>
    </w:p>
    <w:p w14:paraId="0B926586" w14:textId="77777777" w:rsidR="005748E2" w:rsidRPr="00761E51" w:rsidRDefault="004B2E2B" w:rsidP="00761E51">
      <w:pPr>
        <w:widowControl w:val="0"/>
        <w:ind w:left="709" w:hanging="709"/>
        <w:jc w:val="both"/>
        <w:rPr>
          <w:rFonts w:ascii="Book Antiqua" w:hAnsi="Book Antiqua"/>
          <w:noProof/>
          <w:sz w:val="18"/>
          <w:szCs w:val="18"/>
        </w:rPr>
      </w:pPr>
      <w:r w:rsidRPr="00761E51">
        <w:rPr>
          <w:rFonts w:ascii="Book Antiqua" w:hAnsi="Book Antiqua"/>
          <w:noProof/>
          <w:sz w:val="18"/>
          <w:szCs w:val="18"/>
          <w:lang w:val="sv-SE"/>
        </w:rPr>
        <w:t xml:space="preserve">Pratiwi, Z. M. E. (2015). </w:t>
      </w:r>
      <w:r w:rsidRPr="00761E51">
        <w:rPr>
          <w:rFonts w:ascii="Book Antiqua" w:hAnsi="Book Antiqua"/>
          <w:i/>
          <w:iCs/>
          <w:noProof/>
          <w:sz w:val="18"/>
          <w:szCs w:val="18"/>
          <w:lang w:val="sv-SE"/>
        </w:rPr>
        <w:t>Institut Agama Islam Negeri</w:t>
      </w:r>
      <w:r w:rsidRPr="00761E51">
        <w:rPr>
          <w:rFonts w:ascii="Book Antiqua" w:hAnsi="Book Antiqua"/>
          <w:noProof/>
          <w:sz w:val="18"/>
          <w:szCs w:val="18"/>
          <w:lang w:val="sv-SE"/>
        </w:rPr>
        <w:t xml:space="preserve">. </w:t>
      </w:r>
      <w:r w:rsidRPr="00761E51">
        <w:rPr>
          <w:rFonts w:ascii="Book Antiqua" w:hAnsi="Book Antiqua"/>
          <w:i/>
          <w:iCs/>
          <w:noProof/>
          <w:sz w:val="18"/>
          <w:szCs w:val="18"/>
        </w:rPr>
        <w:t>23</w:t>
      </w:r>
      <w:r w:rsidRPr="00761E51">
        <w:rPr>
          <w:rFonts w:ascii="Book Antiqua" w:hAnsi="Book Antiqua"/>
          <w:noProof/>
          <w:sz w:val="18"/>
          <w:szCs w:val="18"/>
        </w:rPr>
        <w:t>, 57168.</w:t>
      </w:r>
    </w:p>
    <w:p w14:paraId="0A4D78DC" w14:textId="77777777" w:rsidR="005748E2" w:rsidRPr="00761E51" w:rsidRDefault="004B2E2B" w:rsidP="00761E51">
      <w:pPr>
        <w:widowControl w:val="0"/>
        <w:ind w:left="709" w:hanging="709"/>
        <w:jc w:val="both"/>
        <w:rPr>
          <w:rFonts w:ascii="Book Antiqua" w:hAnsi="Book Antiqua"/>
          <w:noProof/>
          <w:sz w:val="18"/>
          <w:szCs w:val="18"/>
          <w:lang w:val="sv-SE"/>
        </w:rPr>
      </w:pPr>
      <w:r w:rsidRPr="00761E51">
        <w:rPr>
          <w:rFonts w:ascii="Book Antiqua" w:hAnsi="Book Antiqua"/>
          <w:noProof/>
          <w:sz w:val="18"/>
          <w:szCs w:val="18"/>
        </w:rPr>
        <w:t xml:space="preserve">Ryandono, M. N. H., &amp; Wahyudi, R. (2018). </w:t>
      </w:r>
      <w:r w:rsidRPr="00761E51">
        <w:rPr>
          <w:rFonts w:ascii="Book Antiqua" w:hAnsi="Book Antiqua"/>
          <w:i/>
          <w:iCs/>
          <w:noProof/>
          <w:sz w:val="18"/>
          <w:szCs w:val="18"/>
          <w:lang w:val="sv-SE"/>
        </w:rPr>
        <w:t>Manajemen Bank Islam: Pendekatan Syariah dan Praktek</w:t>
      </w:r>
      <w:r w:rsidRPr="00761E51">
        <w:rPr>
          <w:rFonts w:ascii="Book Antiqua" w:hAnsi="Book Antiqua"/>
          <w:noProof/>
          <w:sz w:val="18"/>
          <w:szCs w:val="18"/>
          <w:lang w:val="sv-SE"/>
        </w:rPr>
        <w:t xml:space="preserve">. UAD PRESS. </w:t>
      </w:r>
    </w:p>
    <w:p w14:paraId="592245B8" w14:textId="77777777" w:rsidR="005748E2" w:rsidRPr="00761E51" w:rsidRDefault="004B2E2B" w:rsidP="00761E51">
      <w:pPr>
        <w:widowControl w:val="0"/>
        <w:ind w:left="709" w:hanging="709"/>
        <w:jc w:val="both"/>
        <w:rPr>
          <w:rFonts w:ascii="Book Antiqua" w:hAnsi="Book Antiqua"/>
          <w:noProof/>
          <w:sz w:val="18"/>
          <w:szCs w:val="18"/>
          <w:lang w:val="sv-SE"/>
        </w:rPr>
      </w:pPr>
      <w:r w:rsidRPr="00761E51">
        <w:rPr>
          <w:rFonts w:ascii="Book Antiqua" w:hAnsi="Book Antiqua"/>
          <w:noProof/>
          <w:sz w:val="18"/>
          <w:szCs w:val="18"/>
          <w:lang w:val="sv-SE"/>
        </w:rPr>
        <w:t>www.brisyariah.co.id</w:t>
      </w:r>
    </w:p>
    <w:p w14:paraId="12D98DB8" w14:textId="77777777" w:rsidR="005748E2" w:rsidRPr="00761E51" w:rsidRDefault="004B2E2B" w:rsidP="00761E51">
      <w:pPr>
        <w:widowControl w:val="0"/>
        <w:ind w:left="709" w:hanging="709"/>
        <w:jc w:val="both"/>
        <w:rPr>
          <w:rFonts w:ascii="Book Antiqua" w:hAnsi="Book Antiqua"/>
          <w:noProof/>
          <w:sz w:val="18"/>
          <w:szCs w:val="18"/>
        </w:rPr>
      </w:pPr>
      <w:r w:rsidRPr="00761E51">
        <w:rPr>
          <w:rFonts w:ascii="Book Antiqua" w:hAnsi="Book Antiqua"/>
          <w:noProof/>
          <w:sz w:val="18"/>
          <w:szCs w:val="18"/>
          <w:lang w:val="sv-SE"/>
        </w:rPr>
        <w:t xml:space="preserve">Yuliawati, L. (2019). Biaya Iklan dan Promosi Serta Pengaruhnya terhadap Hasil Penjualan PT. </w:t>
      </w:r>
      <w:r w:rsidRPr="00761E51">
        <w:rPr>
          <w:rFonts w:ascii="Book Antiqua" w:hAnsi="Book Antiqua"/>
          <w:noProof/>
          <w:sz w:val="18"/>
          <w:szCs w:val="18"/>
        </w:rPr>
        <w:t xml:space="preserve">Sukses, Indofood Tbk, Makmur. </w:t>
      </w:r>
      <w:r w:rsidRPr="00761E51">
        <w:rPr>
          <w:rFonts w:ascii="Book Antiqua" w:hAnsi="Book Antiqua"/>
          <w:i/>
          <w:iCs/>
          <w:noProof/>
          <w:sz w:val="18"/>
          <w:szCs w:val="18"/>
        </w:rPr>
        <w:t>Cakrawala</w:t>
      </w:r>
      <w:r w:rsidRPr="00761E51">
        <w:rPr>
          <w:rFonts w:ascii="Book Antiqua" w:hAnsi="Book Antiqua"/>
          <w:noProof/>
          <w:sz w:val="18"/>
          <w:szCs w:val="18"/>
        </w:rPr>
        <w:t xml:space="preserve">, </w:t>
      </w:r>
      <w:r w:rsidRPr="00761E51">
        <w:rPr>
          <w:rFonts w:ascii="Book Antiqua" w:hAnsi="Book Antiqua"/>
          <w:i/>
          <w:iCs/>
          <w:noProof/>
          <w:sz w:val="18"/>
          <w:szCs w:val="18"/>
        </w:rPr>
        <w:t>19</w:t>
      </w:r>
      <w:r w:rsidRPr="00761E51">
        <w:rPr>
          <w:rFonts w:ascii="Book Antiqua" w:hAnsi="Book Antiqua"/>
          <w:noProof/>
          <w:sz w:val="18"/>
          <w:szCs w:val="18"/>
        </w:rPr>
        <w:t>(1), 15–20. doi: https://doi.org/10.31294/jc.v19i1.</w:t>
      </w:r>
    </w:p>
    <w:p w14:paraId="3F1E9892" w14:textId="77777777" w:rsidR="005748E2" w:rsidRPr="00761E51" w:rsidRDefault="004B2E2B" w:rsidP="00761E51">
      <w:pPr>
        <w:widowControl w:val="0"/>
        <w:autoSpaceDE w:val="0"/>
        <w:autoSpaceDN w:val="0"/>
        <w:adjustRightInd w:val="0"/>
        <w:ind w:left="709" w:hanging="709"/>
        <w:jc w:val="both"/>
        <w:rPr>
          <w:rFonts w:ascii="Book Antiqua" w:hAnsi="Book Antiqua"/>
          <w:sz w:val="18"/>
          <w:szCs w:val="18"/>
        </w:rPr>
      </w:pPr>
      <w:r w:rsidRPr="00761E51">
        <w:rPr>
          <w:rFonts w:eastAsia="Calibri"/>
          <w:b/>
          <w:sz w:val="18"/>
          <w:szCs w:val="18"/>
        </w:rPr>
        <w:fldChar w:fldCharType="end"/>
      </w:r>
    </w:p>
    <w:sectPr w:rsidR="005748E2" w:rsidRPr="00761E51" w:rsidSect="000F0043">
      <w:headerReference w:type="even" r:id="rId12"/>
      <w:headerReference w:type="default" r:id="rId13"/>
      <w:footerReference w:type="even" r:id="rId14"/>
      <w:footerReference w:type="default" r:id="rId15"/>
      <w:headerReference w:type="first" r:id="rId16"/>
      <w:footerReference w:type="first" r:id="rId17"/>
      <w:pgSz w:w="11907" w:h="16840" w:code="9"/>
      <w:pgMar w:top="2835" w:right="1418" w:bottom="1418" w:left="1701" w:header="1021" w:footer="794" w:gutter="0"/>
      <w:pgNumType w:start="186"/>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33ADE2" w15:done="0"/>
  <w15:commentEx w15:paraId="1112E08A" w15:done="0"/>
  <w15:commentEx w15:paraId="1F7288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E9473" w16cex:dateUtc="2023-03-29T03:41:00Z"/>
  <w16cex:commentExtensible w16cex:durableId="27CE9542" w16cex:dateUtc="2023-03-29T0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33ADE2" w16cid:durableId="27CE9473"/>
  <w16cid:commentId w16cid:paraId="1112E08A" w16cid:durableId="27CE9542"/>
  <w16cid:commentId w16cid:paraId="1F7288DD" w16cid:durableId="27C05F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66144" w14:textId="77777777" w:rsidR="00491E3A" w:rsidRDefault="00491E3A">
      <w:r>
        <w:separator/>
      </w:r>
    </w:p>
  </w:endnote>
  <w:endnote w:type="continuationSeparator" w:id="0">
    <w:p w14:paraId="0EF4F4BC" w14:textId="77777777" w:rsidR="00491E3A" w:rsidRDefault="0049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8F5F3" w14:textId="76A0AE01" w:rsidR="005748E2" w:rsidRDefault="004B2E2B">
    <w:pPr>
      <w:pStyle w:val="Header"/>
      <w:tabs>
        <w:tab w:val="clear" w:pos="4320"/>
        <w:tab w:val="clear" w:pos="8640"/>
      </w:tabs>
      <w:spacing w:before="240"/>
      <w:rPr>
        <w:rFonts w:ascii="Tw Cen MT" w:hAnsi="Tw Cen MT"/>
      </w:rPr>
    </w:pPr>
    <w:r>
      <w:rPr>
        <w:rFonts w:ascii="Tw Cen MT" w:hAnsi="Tw Cen MT"/>
        <w:noProof/>
      </w:rPr>
      <mc:AlternateContent>
        <mc:Choice Requires="wps">
          <w:drawing>
            <wp:anchor distT="0" distB="0" distL="0" distR="0" simplePos="0" relativeHeight="3" behindDoc="0" locked="0" layoutInCell="1" allowOverlap="1" wp14:anchorId="0801E231" wp14:editId="4B4F22E1">
              <wp:simplePos x="0" y="0"/>
              <wp:positionH relativeFrom="column">
                <wp:posOffset>-12065</wp:posOffset>
              </wp:positionH>
              <wp:positionV relativeFrom="paragraph">
                <wp:posOffset>145415</wp:posOffset>
              </wp:positionV>
              <wp:extent cx="5580380" cy="0"/>
              <wp:effectExtent l="6985" t="12065" r="13334" b="6985"/>
              <wp:wrapNone/>
              <wp:docPr id="409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038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C0768A1" id="Line 3" o:spid="_x0000_s1026" style="position:absolute;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">
              <o:lock v:ext="edit" shapetype="f"/>
            </v:line>
          </w:pict>
        </mc:Fallback>
      </mc:AlternateContent>
    </w:r>
    <w:r>
      <w:rPr>
        <w:rFonts w:ascii="Tw Cen MT" w:hAnsi="Tw Cen MT"/>
      </w:rPr>
      <w:t>Enrichment</w:t>
    </w:r>
    <w:r w:rsidR="00DB5F5C">
      <w:rPr>
        <w:rFonts w:ascii="Tw Cen MT" w:hAnsi="Tw Cen MT"/>
        <w:noProof/>
        <w:lang w:val="en-GB" w:eastAsia="en-GB"/>
      </w:rPr>
      <w:t>, Vol.13, No. 1</w:t>
    </w:r>
    <w:r>
      <w:rPr>
        <w:rFonts w:ascii="Tw Cen MT" w:hAnsi="Tw Cen MT"/>
        <w:noProof/>
        <w:lang w:val="en-GB" w:eastAsia="en-GB"/>
      </w:rPr>
      <w:t xml:space="preserve">, </w:t>
    </w:r>
    <w:r w:rsidR="00DB5F5C">
      <w:rPr>
        <w:rFonts w:ascii="Tw Cen MT" w:hAnsi="Tw Cen MT"/>
        <w:noProof/>
        <w:lang w:val="en-GB" w:eastAsia="en-GB"/>
      </w:rPr>
      <w:t>April 2023</w:t>
    </w:r>
    <w:r>
      <w:rPr>
        <w:rFonts w:ascii="Tw Cen MT" w:hAnsi="Tw Cen MT"/>
        <w:noProof/>
        <w:lang w:val="en-GB" w:eastAsia="en-GB"/>
      </w:rPr>
      <w:t xml:space="preserve">: pp </w:t>
    </w:r>
    <w:r w:rsidR="000F0043">
      <w:rPr>
        <w:rFonts w:ascii="Tw Cen MT" w:hAnsi="Tw Cen MT"/>
        <w:noProof/>
        <w:lang w:val="en-GB" w:eastAsia="en-GB"/>
      </w:rPr>
      <w:t>186-192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BA903" w14:textId="6A84ACF2" w:rsidR="005748E2" w:rsidRDefault="00DB5F5C">
    <w:pPr>
      <w:pStyle w:val="Footer"/>
      <w:pBdr>
        <w:top w:val="single" w:sz="4" w:space="1" w:color="auto"/>
      </w:pBdr>
      <w:jc w:val="right"/>
      <w:rPr>
        <w:rFonts w:ascii="Book Antiqua" w:hAnsi="Book Antiqua" w:cs="Arial"/>
        <w:i/>
        <w:sz w:val="18"/>
        <w:szCs w:val="18"/>
      </w:rPr>
    </w:pPr>
    <w:r w:rsidRPr="00DB5F5C">
      <w:rPr>
        <w:rFonts w:ascii="Book Antiqua" w:hAnsi="Book Antiqua" w:cs="Arial"/>
        <w:i/>
        <w:sz w:val="18"/>
        <w:szCs w:val="18"/>
      </w:rPr>
      <w:t>Hieronimus Erwin Indrawan</w:t>
    </w:r>
    <w:r w:rsidR="004B2E2B">
      <w:rPr>
        <w:rFonts w:ascii="Book Antiqua" w:hAnsi="Book Antiqua" w:cs="Arial"/>
        <w:b/>
        <w:bCs/>
        <w:i/>
        <w:sz w:val="18"/>
        <w:szCs w:val="18"/>
      </w:rPr>
      <w:t xml:space="preserve">, </w:t>
    </w:r>
    <w:r w:rsidRPr="00DB5F5C">
      <w:rPr>
        <w:rFonts w:ascii="Book Antiqua" w:hAnsi="Book Antiqua" w:cs="Arial"/>
        <w:b/>
        <w:bCs/>
        <w:i/>
        <w:sz w:val="18"/>
        <w:szCs w:val="18"/>
      </w:rPr>
      <w:t>The influence of promotional costs on third party finds at PT. Bank BRI Syariah Indonesia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D1551" w14:textId="77777777" w:rsidR="005748E2" w:rsidRDefault="004B2E2B">
    <w:pPr>
      <w:pStyle w:val="Footer"/>
      <w:pBdr>
        <w:top w:val="single" w:sz="4" w:space="1" w:color="auto"/>
      </w:pBdr>
      <w:spacing w:before="240"/>
      <w:rPr>
        <w:rFonts w:ascii="Arial" w:hAnsi="Arial" w:cs="Arial"/>
        <w:bCs/>
        <w:iCs/>
        <w:sz w:val="16"/>
        <w:szCs w:val="16"/>
      </w:rPr>
    </w:pPr>
    <w:r>
      <w:rPr>
        <w:rFonts w:ascii="Arial" w:hAnsi="Arial" w:cs="Arial"/>
        <w:bCs/>
        <w:iCs/>
        <w:sz w:val="16"/>
        <w:szCs w:val="16"/>
      </w:rPr>
      <w:t>Journal homepage: www.enrichment.iocspublisher.org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AD97B" w14:textId="77777777" w:rsidR="00491E3A" w:rsidRDefault="00491E3A">
      <w:r>
        <w:separator/>
      </w:r>
    </w:p>
  </w:footnote>
  <w:footnote w:type="continuationSeparator" w:id="0">
    <w:p w14:paraId="404743D8" w14:textId="77777777" w:rsidR="00491E3A" w:rsidRDefault="00491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9C5DE" w14:textId="77777777" w:rsidR="005748E2" w:rsidRDefault="004B2E2B">
    <w:pPr>
      <w:pStyle w:val="Header"/>
      <w:framePr w:wrap="around" w:vAnchor="text" w:hAnchor="margin" w:xAlign="outside" w:y="1"/>
      <w:rPr>
        <w:rStyle w:val="PageNumber"/>
        <w:rFonts w:ascii="Tw Cen MT" w:hAnsi="Tw Cen MT"/>
      </w:rPr>
    </w:pPr>
    <w:r>
      <w:rPr>
        <w:rStyle w:val="PageNumber"/>
        <w:rFonts w:ascii="Tw Cen MT" w:hAnsi="Tw Cen MT"/>
      </w:rPr>
      <w:fldChar w:fldCharType="begin"/>
    </w:r>
    <w:r>
      <w:rPr>
        <w:rStyle w:val="PageNumber"/>
        <w:rFonts w:ascii="Tw Cen MT" w:hAnsi="Tw Cen MT"/>
      </w:rPr>
      <w:instrText xml:space="preserve">PAGE  </w:instrText>
    </w:r>
    <w:r>
      <w:rPr>
        <w:rStyle w:val="PageNumber"/>
        <w:rFonts w:ascii="Tw Cen MT" w:hAnsi="Tw Cen MT"/>
      </w:rPr>
      <w:fldChar w:fldCharType="separate"/>
    </w:r>
    <w:r w:rsidR="00370206">
      <w:rPr>
        <w:rStyle w:val="PageNumber"/>
        <w:rFonts w:ascii="Tw Cen MT" w:hAnsi="Tw Cen MT"/>
        <w:noProof/>
      </w:rPr>
      <w:t>188</w:t>
    </w:r>
    <w:r>
      <w:rPr>
        <w:rStyle w:val="PageNumber"/>
        <w:rFonts w:ascii="Tw Cen MT" w:hAnsi="Tw Cen MT"/>
      </w:rPr>
      <w:fldChar w:fldCharType="end"/>
    </w:r>
  </w:p>
  <w:p w14:paraId="57288DC5" w14:textId="77777777" w:rsidR="005748E2" w:rsidRDefault="004B2E2B">
    <w:pPr>
      <w:pStyle w:val="Header"/>
      <w:tabs>
        <w:tab w:val="clear" w:pos="4320"/>
        <w:tab w:val="clear" w:pos="8640"/>
      </w:tabs>
      <w:spacing w:after="240"/>
      <w:rPr>
        <w:rFonts w:ascii="Tw Cen MT" w:hAnsi="Tw Cen MT"/>
      </w:rPr>
    </w:pPr>
    <w:r>
      <w:rPr>
        <w:rFonts w:ascii="Tw Cen MT" w:hAnsi="Tw Cen MT"/>
        <w:noProof/>
      </w:rPr>
      <mc:AlternateContent>
        <mc:Choice Requires="wps">
          <w:drawing>
            <wp:anchor distT="0" distB="0" distL="0" distR="0" simplePos="0" relativeHeight="2" behindDoc="0" locked="0" layoutInCell="1" allowOverlap="1" wp14:anchorId="7BA47D28" wp14:editId="7062591F">
              <wp:simplePos x="0" y="0"/>
              <wp:positionH relativeFrom="column">
                <wp:posOffset>23495</wp:posOffset>
              </wp:positionH>
              <wp:positionV relativeFrom="paragraph">
                <wp:posOffset>182880</wp:posOffset>
              </wp:positionV>
              <wp:extent cx="5544820" cy="0"/>
              <wp:effectExtent l="13970" t="11430" r="13334" b="7620"/>
              <wp:wrapNone/>
              <wp:docPr id="409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4820" cy="0"/>
                      </a:xfrm>
                      <a:prstGeom prst="straightConnector1">
                        <a:avLst/>
                      </a:prstGeom>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22C813D2"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" strokeweight="1pt">
              <o:lock v:ext="edit" shapetype="f"/>
            </v:shape>
          </w:pict>
        </mc:Fallback>
      </mc:AlternateContent>
    </w:r>
    <w:r>
      <w:rPr>
        <w:rFonts w:ascii="Tw Cen MT" w:hAnsi="Tw Cen MT"/>
      </w:rPr>
      <w:t xml:space="preserve">     </w:t>
    </w:r>
    <w:r>
      <w:rPr>
        <w:rFonts w:ascii="Tw Cen MT" w:hAnsi="Tw Cen MT"/>
      </w:rPr>
      <w:tab/>
    </w:r>
    <w:r>
      <w:rPr>
        <w:rFonts w:ascii="Tw Cen MT" w:hAnsi="Tw Cen MT"/>
      </w:rPr>
      <w:sym w:font="Wingdings" w:char="F072"/>
    </w:r>
    <w:r>
      <w:rPr>
        <w:rFonts w:ascii="Tw Cen MT" w:hAnsi="Tw Cen MT"/>
      </w:rPr>
      <w:t xml:space="preserve"> </w:t>
    </w:r>
    <w:r>
      <w:rPr>
        <w:rFonts w:ascii="Tw Cen MT" w:hAnsi="Tw Cen MT"/>
      </w:rPr>
      <w:tab/>
    </w:r>
    <w:r>
      <w:rPr>
        <w:rFonts w:ascii="Tw Cen MT" w:hAnsi="Tw Cen MT"/>
      </w:rPr>
      <w:tab/>
      <w:t>ISSN 2087-6327 (Print)|2721-7787 (Online)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27C38" w14:textId="77777777" w:rsidR="005748E2" w:rsidRDefault="004B2E2B">
    <w:pPr>
      <w:pStyle w:val="Header"/>
      <w:framePr w:wrap="around" w:vAnchor="text" w:hAnchor="margin" w:xAlign="outside" w:y="1"/>
      <w:rPr>
        <w:rStyle w:val="PageNumber"/>
        <w:rFonts w:ascii="Tw Cen MT" w:hAnsi="Tw Cen MT"/>
      </w:rPr>
    </w:pPr>
    <w:r>
      <w:rPr>
        <w:rStyle w:val="PageNumber"/>
        <w:rFonts w:ascii="Tw Cen MT" w:hAnsi="Tw Cen MT"/>
      </w:rPr>
      <w:fldChar w:fldCharType="begin"/>
    </w:r>
    <w:r>
      <w:rPr>
        <w:rStyle w:val="PageNumber"/>
        <w:rFonts w:ascii="Tw Cen MT" w:hAnsi="Tw Cen MT"/>
      </w:rPr>
      <w:instrText xml:space="preserve">PAGE  </w:instrText>
    </w:r>
    <w:r>
      <w:rPr>
        <w:rStyle w:val="PageNumber"/>
        <w:rFonts w:ascii="Tw Cen MT" w:hAnsi="Tw Cen MT"/>
      </w:rPr>
      <w:fldChar w:fldCharType="separate"/>
    </w:r>
    <w:r w:rsidR="00370206">
      <w:rPr>
        <w:rStyle w:val="PageNumber"/>
        <w:rFonts w:ascii="Tw Cen MT" w:hAnsi="Tw Cen MT"/>
        <w:noProof/>
      </w:rPr>
      <w:t>187</w:t>
    </w:r>
    <w:r>
      <w:rPr>
        <w:rStyle w:val="PageNumber"/>
        <w:rFonts w:ascii="Tw Cen MT" w:hAnsi="Tw Cen MT"/>
      </w:rPr>
      <w:fldChar w:fldCharType="end"/>
    </w:r>
  </w:p>
  <w:p w14:paraId="06F455CD" w14:textId="77777777" w:rsidR="005748E2" w:rsidRDefault="004B2E2B">
    <w:pPr>
      <w:pStyle w:val="Header"/>
      <w:pBdr>
        <w:bottom w:val="single" w:sz="4" w:space="1" w:color="auto"/>
      </w:pBdr>
      <w:tabs>
        <w:tab w:val="clear" w:pos="4320"/>
        <w:tab w:val="clear" w:pos="8640"/>
      </w:tabs>
      <w:rPr>
        <w:rFonts w:ascii="Tw Cen MT" w:hAnsi="Tw Cen MT"/>
      </w:rPr>
    </w:pPr>
    <w:r>
      <w:rPr>
        <w:rFonts w:ascii="Tw Cen MT" w:hAnsi="Tw Cen MT"/>
      </w:rPr>
      <w:t>Enrichment: Journal of Management  ISSN 2087-6327 (Print)|2721-7787 (Online)</w:t>
    </w:r>
    <w:r>
      <w:rPr>
        <w:rFonts w:ascii="Tw Cen MT" w:hAnsi="Tw Cen MT"/>
      </w:rPr>
      <w:tab/>
    </w:r>
    <w:r>
      <w:rPr>
        <w:rFonts w:ascii="Tw Cen MT" w:hAnsi="Tw Cen MT"/>
      </w:rPr>
      <w:sym w:font="Wingdings" w:char="F072"/>
    </w:r>
  </w:p>
  <w:p w14:paraId="668C4AB3" w14:textId="77777777" w:rsidR="005748E2" w:rsidRDefault="005748E2">
    <w:pPr>
      <w:pStyle w:val="Header"/>
      <w:ind w:right="360" w:firstLine="360"/>
      <w:rPr>
        <w:rFonts w:ascii="Tw Cen MT" w:hAnsi="Tw Cen M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C7757" w14:textId="58890969" w:rsidR="005748E2" w:rsidRDefault="004B2E2B">
    <w:pPr>
      <w:pStyle w:val="Header"/>
      <w:jc w:val="center"/>
      <w:rPr>
        <w:rFonts w:ascii="Constantia" w:hAnsi="Constantia"/>
        <w:bCs/>
        <w:i/>
        <w:iCs/>
      </w:rPr>
    </w:pPr>
    <w:r>
      <w:rPr>
        <w:noProof/>
      </w:rPr>
      <w:drawing>
        <wp:anchor distT="0" distB="0" distL="0" distR="0" simplePos="0" relativeHeight="7" behindDoc="0" locked="0" layoutInCell="1" allowOverlap="1" wp14:anchorId="35F9EA9B" wp14:editId="4FAA001E">
          <wp:simplePos x="0" y="0"/>
          <wp:positionH relativeFrom="column">
            <wp:posOffset>-2540</wp:posOffset>
          </wp:positionH>
          <wp:positionV relativeFrom="paragraph">
            <wp:posOffset>130174</wp:posOffset>
          </wp:positionV>
          <wp:extent cx="629285" cy="720725"/>
          <wp:effectExtent l="0" t="0" r="0" b="3175"/>
          <wp:wrapNone/>
          <wp:docPr id="4099"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1" cstate="print"/>
                  <a:srcRect/>
                  <a:stretch/>
                </pic:blipFill>
                <pic:spPr>
                  <a:xfrm>
                    <a:off x="0" y="0"/>
                    <a:ext cx="629285" cy="720725"/>
                  </a:xfrm>
                  <a:prstGeom prst="rect">
                    <a:avLst/>
                  </a:prstGeom>
                  <a:ln>
                    <a:noFill/>
                  </a:ln>
                </pic:spPr>
              </pic:pic>
            </a:graphicData>
          </a:graphic>
          <wp14:sizeRelH relativeFrom="page">
            <wp14:pctWidth>0</wp14:pctWidth>
          </wp14:sizeRelH>
          <wp14:sizeRelV relativeFrom="page">
            <wp14:pctHeight>0</wp14:pctHeight>
          </wp14:sizeRelV>
        </wp:anchor>
      </w:drawing>
    </w:r>
    <w:r>
      <w:rPr>
        <w:rFonts w:ascii="Constantia" w:hAnsi="Constantia"/>
        <w:i/>
        <w:iCs/>
      </w:rPr>
      <w:t xml:space="preserve"> Enrichment: Journal of Management</w:t>
    </w:r>
    <w:r>
      <w:rPr>
        <w:rFonts w:ascii="Constantia" w:hAnsi="Constantia"/>
        <w:i/>
        <w:iCs/>
        <w:noProof/>
      </w:rPr>
      <w:t xml:space="preserve">, </w:t>
    </w:r>
    <w:r w:rsidR="00DB5F5C">
      <w:rPr>
        <w:rFonts w:ascii="Constantia" w:hAnsi="Constantia"/>
        <w:bCs/>
        <w:i/>
        <w:iCs/>
      </w:rPr>
      <w:t>13 (1</w:t>
    </w:r>
    <w:r w:rsidR="000F0043">
      <w:rPr>
        <w:rFonts w:ascii="Constantia" w:hAnsi="Constantia"/>
        <w:bCs/>
        <w:i/>
        <w:iCs/>
      </w:rPr>
      <w:t>) (2023</w:t>
    </w:r>
    <w:r>
      <w:rPr>
        <w:rFonts w:ascii="Constantia" w:hAnsi="Constantia"/>
        <w:bCs/>
        <w:i/>
        <w:iCs/>
      </w:rPr>
      <w:t>)</w:t>
    </w:r>
  </w:p>
  <w:p w14:paraId="27DB36A6" w14:textId="77777777" w:rsidR="005748E2" w:rsidRDefault="004B2E2B">
    <w:pPr>
      <w:pStyle w:val="Header"/>
      <w:jc w:val="center"/>
      <w:rPr>
        <w:rStyle w:val="PageNumber"/>
        <w:rFonts w:ascii="Constantia" w:hAnsi="Constantia"/>
        <w:bCs/>
        <w:i/>
        <w:iCs/>
      </w:rPr>
    </w:pPr>
    <w:r>
      <w:rPr>
        <w:noProof/>
      </w:rPr>
      <w:drawing>
        <wp:anchor distT="0" distB="0" distL="0" distR="0" simplePos="0" relativeHeight="6" behindDoc="0" locked="0" layoutInCell="1" allowOverlap="1" wp14:anchorId="47D36780" wp14:editId="143662DC">
          <wp:simplePos x="0" y="0"/>
          <wp:positionH relativeFrom="column">
            <wp:posOffset>5068570</wp:posOffset>
          </wp:positionH>
          <wp:positionV relativeFrom="paragraph">
            <wp:posOffset>3175</wp:posOffset>
          </wp:positionV>
          <wp:extent cx="490220" cy="692785"/>
          <wp:effectExtent l="0" t="0" r="5080" b="0"/>
          <wp:wrapNone/>
          <wp:docPr id="4100"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
                  <pic:cNvPicPr/>
                </pic:nvPicPr>
                <pic:blipFill>
                  <a:blip r:embed="rId2" cstate="print"/>
                  <a:srcRect/>
                  <a:stretch/>
                </pic:blipFill>
                <pic:spPr>
                  <a:xfrm>
                    <a:off x="0" y="0"/>
                    <a:ext cx="490220" cy="692785"/>
                  </a:xfrm>
                  <a:prstGeom prst="rect">
                    <a:avLst/>
                  </a:prstGeom>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mc:AlternateContent>
        <mc:Choice Requires="wps">
          <w:drawing>
            <wp:anchor distT="0" distB="0" distL="0" distR="0" simplePos="0" relativeHeight="5" behindDoc="0" locked="0" layoutInCell="1" allowOverlap="1" wp14:anchorId="057B3EBC" wp14:editId="6422573C">
              <wp:simplePos x="0" y="0"/>
              <wp:positionH relativeFrom="column">
                <wp:posOffset>-2540</wp:posOffset>
              </wp:positionH>
              <wp:positionV relativeFrom="paragraph">
                <wp:posOffset>775969</wp:posOffset>
              </wp:positionV>
              <wp:extent cx="5570855" cy="0"/>
              <wp:effectExtent l="38100" t="38100" r="67945" b="95250"/>
              <wp:wrapNone/>
              <wp:docPr id="410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0855" cy="0"/>
                      </a:xfrm>
                      <a:prstGeom prst="line">
                        <a:avLst/>
                      </a:prstGeom>
                      <a:ln w="25400" cap="flat" cmpd="sng">
                        <a:solidFill>
                          <a:srgbClr val="4F81BD"/>
                        </a:solidFill>
                        <a:prstDash val="solid"/>
                        <a:round/>
                        <a:headEnd/>
                        <a:tailEnd/>
                      </a:ln>
                      <a:effectLst>
                        <a:outerShdw blurRad="40000" dist="127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655E2C9" id="Straight Connector 6" o:spid="_x0000_s1026" style="position:absolute;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pt,61.1pt" to="438.45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" strokecolor="#4f81bd" strokeweight="2pt">
              <v:shadow on="t" color="black" opacity="24903f" origin=",.5" offset="0,1pt"/>
              <o:lock v:ext="edit" shapetype="f"/>
            </v:line>
          </w:pict>
        </mc:Fallback>
      </mc:AlternateContent>
    </w:r>
    <w:r>
      <w:rPr>
        <w:noProof/>
      </w:rPr>
      <mc:AlternateContent>
        <mc:Choice Requires="wps">
          <w:drawing>
            <wp:anchor distT="0" distB="0" distL="0" distR="0" simplePos="0" relativeHeight="4" behindDoc="0" locked="0" layoutInCell="1" allowOverlap="1" wp14:anchorId="147987B2" wp14:editId="1557648D">
              <wp:simplePos x="0" y="0"/>
              <wp:positionH relativeFrom="column">
                <wp:posOffset>626745</wp:posOffset>
              </wp:positionH>
              <wp:positionV relativeFrom="paragraph">
                <wp:posOffset>3175</wp:posOffset>
              </wp:positionV>
              <wp:extent cx="4432300" cy="720090"/>
              <wp:effectExtent l="0" t="0" r="0" b="0"/>
              <wp:wrapNone/>
              <wp:docPr id="410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2300" cy="720090"/>
                      </a:xfrm>
                      <a:prstGeom prst="rect">
                        <a:avLst/>
                      </a:prstGeom>
                      <a:ln>
                        <a:noFill/>
                      </a:ln>
                    </wps:spPr>
                    <wps:txbx>
                      <w:txbxContent>
                        <w:p w14:paraId="54B92121" w14:textId="77777777" w:rsidR="005748E2" w:rsidRDefault="004B2E2B">
                          <w:pPr>
                            <w:shd w:val="clear" w:color="auto" w:fill="FFFFEB"/>
                            <w:jc w:val="center"/>
                            <w:rPr>
                              <w:rFonts w:ascii="Century Gothic" w:hAnsi="Century Gothic" w:cs="Arial"/>
                              <w:sz w:val="16"/>
                              <w:szCs w:val="16"/>
                            </w:rPr>
                          </w:pPr>
                          <w:r>
                            <w:rPr>
                              <w:rFonts w:ascii="Century Gothic" w:hAnsi="Century Gothic" w:cs="Arial"/>
                              <w:sz w:val="16"/>
                              <w:szCs w:val="16"/>
                              <w:lang w:val="id-ID"/>
                            </w:rPr>
                            <w:t xml:space="preserve">Published by: </w:t>
                          </w:r>
                          <w:r>
                            <w:rPr>
                              <w:rFonts w:ascii="Century Gothic" w:hAnsi="Century Gothic" w:cs="Arial"/>
                              <w:color w:val="0070C0"/>
                              <w:sz w:val="16"/>
                              <w:szCs w:val="16"/>
                            </w:rPr>
                            <w:t>Instiute of Computer Science (IOCS)</w:t>
                          </w:r>
                        </w:p>
                        <w:p w14:paraId="5D38D9C2" w14:textId="77777777" w:rsidR="005748E2" w:rsidRDefault="005748E2">
                          <w:pPr>
                            <w:shd w:val="clear" w:color="auto" w:fill="FFFFEB"/>
                            <w:jc w:val="center"/>
                            <w:rPr>
                              <w:rFonts w:ascii="Century Gothic" w:hAnsi="Century Gothic" w:cs="Arial"/>
                              <w:sz w:val="6"/>
                              <w:szCs w:val="6"/>
                              <w:lang w:val="id-ID"/>
                            </w:rPr>
                          </w:pPr>
                        </w:p>
                        <w:p w14:paraId="6906E175" w14:textId="77777777" w:rsidR="005748E2" w:rsidRDefault="004B2E2B">
                          <w:pPr>
                            <w:shd w:val="clear" w:color="auto" w:fill="FFFFEB"/>
                            <w:jc w:val="center"/>
                            <w:rPr>
                              <w:rFonts w:ascii="Century Gothic" w:hAnsi="Century Gothic" w:cs="Arial"/>
                              <w:sz w:val="34"/>
                              <w:szCs w:val="34"/>
                            </w:rPr>
                          </w:pPr>
                          <w:r>
                            <w:rPr>
                              <w:rFonts w:ascii="Century Gothic" w:hAnsi="Century Gothic" w:cs="Arial"/>
                              <w:sz w:val="34"/>
                              <w:szCs w:val="34"/>
                            </w:rPr>
                            <w:t>Enrichment: Journal of Management</w:t>
                          </w:r>
                        </w:p>
                        <w:p w14:paraId="48043A9E" w14:textId="77777777" w:rsidR="005748E2" w:rsidRDefault="005748E2">
                          <w:pPr>
                            <w:shd w:val="clear" w:color="auto" w:fill="FFFFEB"/>
                            <w:jc w:val="center"/>
                            <w:rPr>
                              <w:rFonts w:ascii="Century Gothic" w:hAnsi="Century Gothic" w:cs="Arial"/>
                              <w:sz w:val="6"/>
                              <w:szCs w:val="6"/>
                              <w:lang w:val="id-ID"/>
                            </w:rPr>
                          </w:pPr>
                        </w:p>
                        <w:p w14:paraId="65499590" w14:textId="77777777" w:rsidR="005748E2" w:rsidRDefault="004B2E2B">
                          <w:pPr>
                            <w:shd w:val="clear" w:color="auto" w:fill="FFFFEB"/>
                            <w:jc w:val="center"/>
                            <w:rPr>
                              <w:rFonts w:ascii="Century Gothic" w:hAnsi="Century Gothic"/>
                              <w:sz w:val="16"/>
                              <w:szCs w:val="16"/>
                            </w:rPr>
                          </w:pPr>
                          <w:r>
                            <w:rPr>
                              <w:rFonts w:ascii="Century Gothic" w:hAnsi="Century Gothic"/>
                              <w:sz w:val="16"/>
                              <w:szCs w:val="16"/>
                            </w:rPr>
                            <w:t xml:space="preserve">Journal homepage: </w:t>
                          </w:r>
                          <w:r>
                            <w:rPr>
                              <w:rFonts w:ascii="Century Gothic" w:hAnsi="Century Gothic"/>
                              <w:color w:val="0070C0"/>
                              <w:sz w:val="16"/>
                              <w:szCs w:val="16"/>
                            </w:rPr>
                            <w:t>www.enrichment.iocspublisher.org</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47987B2" id="Rectangle 5" o:spid="_x0000_s1026" style="position:absolute;left:0;text-align:left;margin-left:49.35pt;margin-top:.25pt;width:349pt;height:56.7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" filled="f" stroked="f">
              <v:textbox>
                <w:txbxContent>
                  <w:p w14:paraId="54B92121" w14:textId="77777777" w:rsidR="005748E2" w:rsidRDefault="004B2E2B">
                    <w:pPr>
                      <w:shd w:val="clear" w:color="auto" w:fill="FFFFEB"/>
                      <w:jc w:val="center"/>
                      <w:rPr>
                        <w:rFonts w:ascii="Century Gothic" w:hAnsi="Century Gothic" w:cs="Arial"/>
                        <w:sz w:val="16"/>
                        <w:szCs w:val="16"/>
                      </w:rPr>
                    </w:pPr>
                    <w:r>
                      <w:rPr>
                        <w:rFonts w:ascii="Century Gothic" w:hAnsi="Century Gothic" w:cs="Arial"/>
                        <w:sz w:val="16"/>
                        <w:szCs w:val="16"/>
                        <w:lang w:val="id-ID"/>
                      </w:rPr>
                      <w:t xml:space="preserve">Published by: </w:t>
                    </w:r>
                    <w:proofErr w:type="spellStart"/>
                    <w:r>
                      <w:rPr>
                        <w:rFonts w:ascii="Century Gothic" w:hAnsi="Century Gothic" w:cs="Arial"/>
                        <w:color w:val="0070C0"/>
                        <w:sz w:val="16"/>
                        <w:szCs w:val="16"/>
                      </w:rPr>
                      <w:t>Instiute</w:t>
                    </w:r>
                    <w:proofErr w:type="spellEnd"/>
                    <w:r>
                      <w:rPr>
                        <w:rFonts w:ascii="Century Gothic" w:hAnsi="Century Gothic" w:cs="Arial"/>
                        <w:color w:val="0070C0"/>
                        <w:sz w:val="16"/>
                        <w:szCs w:val="16"/>
                      </w:rPr>
                      <w:t xml:space="preserve"> of Computer Science (IOCS)</w:t>
                    </w:r>
                  </w:p>
                  <w:p w14:paraId="5D38D9C2" w14:textId="77777777" w:rsidR="005748E2" w:rsidRDefault="005748E2">
                    <w:pPr>
                      <w:shd w:val="clear" w:color="auto" w:fill="FFFFEB"/>
                      <w:jc w:val="center"/>
                      <w:rPr>
                        <w:rFonts w:ascii="Century Gothic" w:hAnsi="Century Gothic" w:cs="Arial"/>
                        <w:sz w:val="6"/>
                        <w:szCs w:val="6"/>
                        <w:lang w:val="id-ID"/>
                      </w:rPr>
                    </w:pPr>
                  </w:p>
                  <w:p w14:paraId="6906E175" w14:textId="77777777" w:rsidR="005748E2" w:rsidRDefault="004B2E2B">
                    <w:pPr>
                      <w:shd w:val="clear" w:color="auto" w:fill="FFFFEB"/>
                      <w:jc w:val="center"/>
                      <w:rPr>
                        <w:rFonts w:ascii="Century Gothic" w:hAnsi="Century Gothic" w:cs="Arial"/>
                        <w:sz w:val="34"/>
                        <w:szCs w:val="34"/>
                      </w:rPr>
                    </w:pPr>
                    <w:r>
                      <w:rPr>
                        <w:rFonts w:ascii="Century Gothic" w:hAnsi="Century Gothic" w:cs="Arial"/>
                        <w:sz w:val="34"/>
                        <w:szCs w:val="34"/>
                      </w:rPr>
                      <w:t>Enrichment: Journal of Management</w:t>
                    </w:r>
                  </w:p>
                  <w:p w14:paraId="48043A9E" w14:textId="77777777" w:rsidR="005748E2" w:rsidRDefault="005748E2">
                    <w:pPr>
                      <w:shd w:val="clear" w:color="auto" w:fill="FFFFEB"/>
                      <w:jc w:val="center"/>
                      <w:rPr>
                        <w:rFonts w:ascii="Century Gothic" w:hAnsi="Century Gothic" w:cs="Arial"/>
                        <w:sz w:val="6"/>
                        <w:szCs w:val="6"/>
                        <w:lang w:val="id-ID"/>
                      </w:rPr>
                    </w:pPr>
                  </w:p>
                  <w:p w14:paraId="65499590" w14:textId="77777777" w:rsidR="005748E2" w:rsidRDefault="004B2E2B">
                    <w:pPr>
                      <w:shd w:val="clear" w:color="auto" w:fill="FFFFEB"/>
                      <w:jc w:val="center"/>
                      <w:rPr>
                        <w:rFonts w:ascii="Century Gothic" w:hAnsi="Century Gothic"/>
                        <w:sz w:val="16"/>
                        <w:szCs w:val="16"/>
                      </w:rPr>
                    </w:pPr>
                    <w:r>
                      <w:rPr>
                        <w:rFonts w:ascii="Century Gothic" w:hAnsi="Century Gothic"/>
                        <w:sz w:val="16"/>
                        <w:szCs w:val="16"/>
                      </w:rPr>
                      <w:t xml:space="preserve">Journal homepage: </w:t>
                    </w:r>
                    <w:r>
                      <w:rPr>
                        <w:rFonts w:ascii="Century Gothic" w:hAnsi="Century Gothic"/>
                        <w:color w:val="0070C0"/>
                        <w:sz w:val="16"/>
                        <w:szCs w:val="16"/>
                      </w:rPr>
                      <w:t>www.enrichment.iocspublisher.org</w:t>
                    </w:r>
                  </w:p>
                </w:txbxContent>
              </v:textbox>
            </v:rect>
          </w:pict>
        </mc:Fallback>
      </mc:AlternateContent>
    </w:r>
    <w:r>
      <w:t xml:space="preserve"> </w:t>
    </w:r>
  </w:p>
  <w:p w14:paraId="1FCC4351" w14:textId="77777777" w:rsidR="005748E2" w:rsidRDefault="005748E2">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46AE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C1A459DA"/>
    <w:lvl w:ilvl="0" w:tplc="90A806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9AE00DAA"/>
    <w:lvl w:ilvl="0" w:tplc="72E067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2C88AC22"/>
    <w:lvl w:ilvl="0" w:tplc="D074B24A">
      <w:start w:val="1"/>
      <w:numFmt w:val="decimal"/>
      <w:lvlText w:val="[%1]"/>
      <w:lvlJc w:val="left"/>
      <w:pPr>
        <w:tabs>
          <w:tab w:val="left" w:pos="360"/>
        </w:tabs>
        <w:ind w:left="360" w:hanging="360"/>
      </w:pPr>
      <w:rPr>
        <w:rFonts w:hint="default"/>
      </w:rPr>
    </w:lvl>
    <w:lvl w:ilvl="1" w:tplc="0409000F">
      <w:start w:val="1"/>
      <w:numFmt w:val="decimal"/>
      <w:lvlText w:val="%2."/>
      <w:lvlJc w:val="left"/>
      <w:pPr>
        <w:tabs>
          <w:tab w:val="left" w:pos="1080"/>
        </w:tabs>
        <w:ind w:left="1080" w:hanging="360"/>
      </w:pPr>
      <w:rPr>
        <w:rFonts w:hint="default"/>
      </w:r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4">
    <w:nsid w:val="00000005"/>
    <w:multiLevelType w:val="hybridMultilevel"/>
    <w:tmpl w:val="F456218E"/>
    <w:lvl w:ilvl="0" w:tplc="EBEC6870">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5">
    <w:nsid w:val="00000006"/>
    <w:multiLevelType w:val="hybridMultilevel"/>
    <w:tmpl w:val="52FAD5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56D6DE56"/>
    <w:lvl w:ilvl="0" w:tplc="28E0798C">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49245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EADEE8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7BE8D1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8F6CC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DAAA6750"/>
    <w:lvl w:ilvl="0" w:tplc="8C0877AE">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7D5C972E"/>
    <w:lvl w:ilvl="0" w:tplc="74B488A6">
      <w:start w:val="1"/>
      <w:numFmt w:val="lowerLetter"/>
      <w:lvlText w:val="%1.)"/>
      <w:lvlJc w:val="left"/>
      <w:pPr>
        <w:ind w:left="1080" w:hanging="360"/>
      </w:pPr>
      <w:rPr>
        <w:rFonts w:hint="default"/>
      </w:rPr>
    </w:lvl>
    <w:lvl w:ilvl="1" w:tplc="D29077F4" w:tentative="1">
      <w:start w:val="1"/>
      <w:numFmt w:val="lowerLetter"/>
      <w:lvlText w:val="%2."/>
      <w:lvlJc w:val="left"/>
      <w:pPr>
        <w:ind w:left="1800" w:hanging="360"/>
      </w:pPr>
    </w:lvl>
    <w:lvl w:ilvl="2" w:tplc="413266AC" w:tentative="1">
      <w:start w:val="1"/>
      <w:numFmt w:val="lowerRoman"/>
      <w:lvlText w:val="%3."/>
      <w:lvlJc w:val="right"/>
      <w:pPr>
        <w:ind w:left="2520" w:hanging="180"/>
      </w:pPr>
    </w:lvl>
    <w:lvl w:ilvl="3" w:tplc="685AC988" w:tentative="1">
      <w:start w:val="1"/>
      <w:numFmt w:val="decimal"/>
      <w:lvlText w:val="%4."/>
      <w:lvlJc w:val="left"/>
      <w:pPr>
        <w:ind w:left="3240" w:hanging="360"/>
      </w:pPr>
    </w:lvl>
    <w:lvl w:ilvl="4" w:tplc="DB7A62FE" w:tentative="1">
      <w:start w:val="1"/>
      <w:numFmt w:val="lowerLetter"/>
      <w:lvlText w:val="%5."/>
      <w:lvlJc w:val="left"/>
      <w:pPr>
        <w:ind w:left="3960" w:hanging="360"/>
      </w:pPr>
    </w:lvl>
    <w:lvl w:ilvl="5" w:tplc="43627AC6" w:tentative="1">
      <w:start w:val="1"/>
      <w:numFmt w:val="lowerRoman"/>
      <w:lvlText w:val="%6."/>
      <w:lvlJc w:val="right"/>
      <w:pPr>
        <w:ind w:left="4680" w:hanging="180"/>
      </w:pPr>
    </w:lvl>
    <w:lvl w:ilvl="6" w:tplc="A190B9CC" w:tentative="1">
      <w:start w:val="1"/>
      <w:numFmt w:val="decimal"/>
      <w:lvlText w:val="%7."/>
      <w:lvlJc w:val="left"/>
      <w:pPr>
        <w:ind w:left="5400" w:hanging="360"/>
      </w:pPr>
    </w:lvl>
    <w:lvl w:ilvl="7" w:tplc="507AB9F0" w:tentative="1">
      <w:start w:val="1"/>
      <w:numFmt w:val="lowerLetter"/>
      <w:lvlText w:val="%8."/>
      <w:lvlJc w:val="left"/>
      <w:pPr>
        <w:ind w:left="6120" w:hanging="360"/>
      </w:pPr>
    </w:lvl>
    <w:lvl w:ilvl="8" w:tplc="C052B8FE" w:tentative="1">
      <w:start w:val="1"/>
      <w:numFmt w:val="lowerRoman"/>
      <w:lvlText w:val="%9."/>
      <w:lvlJc w:val="right"/>
      <w:pPr>
        <w:ind w:left="6840" w:hanging="180"/>
      </w:pPr>
    </w:lvl>
  </w:abstractNum>
  <w:abstractNum w:abstractNumId="13">
    <w:nsid w:val="0000000E"/>
    <w:multiLevelType w:val="hybridMultilevel"/>
    <w:tmpl w:val="F0523430"/>
    <w:lvl w:ilvl="0" w:tplc="F30472EA">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FA8C5D3A"/>
    <w:lvl w:ilvl="0" w:tplc="2F08CB6E">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6">
    <w:nsid w:val="00000011"/>
    <w:multiLevelType w:val="hybridMultilevel"/>
    <w:tmpl w:val="491AF9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multilevel"/>
    <w:tmpl w:val="1A58F8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0000013"/>
    <w:multiLevelType w:val="hybridMultilevel"/>
    <w:tmpl w:val="F6E8D5D8"/>
    <w:lvl w:ilvl="0" w:tplc="85D818AC">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9">
    <w:nsid w:val="00000014"/>
    <w:multiLevelType w:val="hybridMultilevel"/>
    <w:tmpl w:val="7D5C972E"/>
    <w:lvl w:ilvl="0" w:tplc="72E067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5"/>
    <w:multiLevelType w:val="singleLevel"/>
    <w:tmpl w:val="0F4C1592"/>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21">
    <w:nsid w:val="00000016"/>
    <w:multiLevelType w:val="hybridMultilevel"/>
    <w:tmpl w:val="0230412C"/>
    <w:lvl w:ilvl="0" w:tplc="15DA9126">
      <w:start w:val="1"/>
      <w:numFmt w:val="decimal"/>
      <w:lvlText w:val="[%1]"/>
      <w:lvlJc w:val="left"/>
      <w:pPr>
        <w:tabs>
          <w:tab w:val="left" w:pos="360"/>
        </w:tabs>
        <w:ind w:left="360" w:hanging="360"/>
      </w:pPr>
      <w:rPr>
        <w:rFonts w:hint="default"/>
        <w:sz w:val="20"/>
        <w:szCs w:val="20"/>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2">
    <w:nsid w:val="00000017"/>
    <w:multiLevelType w:val="hybridMultilevel"/>
    <w:tmpl w:val="9B5458BE"/>
    <w:lvl w:ilvl="0" w:tplc="0CC66572">
      <w:start w:val="1"/>
      <w:numFmt w:val="decimal"/>
      <w:lvlText w:val="%1."/>
      <w:lvlJc w:val="left"/>
      <w:pPr>
        <w:ind w:left="788" w:hanging="428"/>
        <w:jc w:val="right"/>
      </w:pPr>
      <w:rPr>
        <w:rFonts w:ascii="Times New Roman" w:eastAsia="Times New Roman" w:hAnsi="Times New Roman" w:cs="Times New Roman"/>
        <w:b w:val="0"/>
        <w:bCs w:val="0"/>
        <w:spacing w:val="0"/>
        <w:w w:val="99"/>
        <w:sz w:val="20"/>
        <w:szCs w:val="20"/>
        <w:lang w:val="en-US" w:eastAsia="en-US" w:bidi="ar-SA"/>
      </w:rPr>
    </w:lvl>
    <w:lvl w:ilvl="1" w:tplc="2E4EDA60">
      <w:start w:val="1"/>
      <w:numFmt w:val="decimal"/>
      <w:lvlText w:val="%2."/>
      <w:lvlJc w:val="left"/>
      <w:pPr>
        <w:ind w:left="1080" w:hanging="360"/>
      </w:pPr>
      <w:rPr>
        <w:rFonts w:ascii="Times New Roman" w:eastAsia="Times New Roman" w:hAnsi="Times New Roman" w:cs="Times New Roman" w:hint="default"/>
        <w:spacing w:val="0"/>
        <w:w w:val="99"/>
        <w:sz w:val="20"/>
        <w:szCs w:val="20"/>
        <w:lang w:val="en-US" w:eastAsia="en-US" w:bidi="ar-SA"/>
      </w:rPr>
    </w:lvl>
    <w:lvl w:ilvl="2" w:tplc="441C34FA">
      <w:start w:val="1"/>
      <w:numFmt w:val="bullet"/>
      <w:lvlText w:val="•"/>
      <w:lvlJc w:val="left"/>
      <w:pPr>
        <w:ind w:left="2720" w:hanging="360"/>
      </w:pPr>
      <w:rPr>
        <w:rFonts w:hint="default"/>
        <w:lang w:val="en-US" w:eastAsia="en-US" w:bidi="ar-SA"/>
      </w:rPr>
    </w:lvl>
    <w:lvl w:ilvl="3" w:tplc="CA746B1E">
      <w:start w:val="1"/>
      <w:numFmt w:val="bullet"/>
      <w:lvlText w:val="•"/>
      <w:lvlJc w:val="left"/>
      <w:pPr>
        <w:ind w:left="3661" w:hanging="360"/>
      </w:pPr>
      <w:rPr>
        <w:rFonts w:hint="default"/>
        <w:lang w:val="en-US" w:eastAsia="en-US" w:bidi="ar-SA"/>
      </w:rPr>
    </w:lvl>
    <w:lvl w:ilvl="4" w:tplc="F184175A">
      <w:start w:val="1"/>
      <w:numFmt w:val="bullet"/>
      <w:lvlText w:val="•"/>
      <w:lvlJc w:val="left"/>
      <w:pPr>
        <w:ind w:left="4602" w:hanging="360"/>
      </w:pPr>
      <w:rPr>
        <w:rFonts w:hint="default"/>
        <w:lang w:val="en-US" w:eastAsia="en-US" w:bidi="ar-SA"/>
      </w:rPr>
    </w:lvl>
    <w:lvl w:ilvl="5" w:tplc="2DDA7162">
      <w:start w:val="1"/>
      <w:numFmt w:val="bullet"/>
      <w:lvlText w:val="•"/>
      <w:lvlJc w:val="left"/>
      <w:pPr>
        <w:ind w:left="5542" w:hanging="360"/>
      </w:pPr>
      <w:rPr>
        <w:rFonts w:hint="default"/>
        <w:lang w:val="en-US" w:eastAsia="en-US" w:bidi="ar-SA"/>
      </w:rPr>
    </w:lvl>
    <w:lvl w:ilvl="6" w:tplc="5B680BF2">
      <w:start w:val="1"/>
      <w:numFmt w:val="bullet"/>
      <w:lvlText w:val="•"/>
      <w:lvlJc w:val="left"/>
      <w:pPr>
        <w:ind w:left="6483" w:hanging="360"/>
      </w:pPr>
      <w:rPr>
        <w:rFonts w:hint="default"/>
        <w:lang w:val="en-US" w:eastAsia="en-US" w:bidi="ar-SA"/>
      </w:rPr>
    </w:lvl>
    <w:lvl w:ilvl="7" w:tplc="89E22E30">
      <w:start w:val="1"/>
      <w:numFmt w:val="bullet"/>
      <w:lvlText w:val="•"/>
      <w:lvlJc w:val="left"/>
      <w:pPr>
        <w:ind w:left="7424" w:hanging="360"/>
      </w:pPr>
      <w:rPr>
        <w:rFonts w:hint="default"/>
        <w:lang w:val="en-US" w:eastAsia="en-US" w:bidi="ar-SA"/>
      </w:rPr>
    </w:lvl>
    <w:lvl w:ilvl="8" w:tplc="45FA1A10">
      <w:start w:val="1"/>
      <w:numFmt w:val="bullet"/>
      <w:lvlText w:val="•"/>
      <w:lvlJc w:val="left"/>
      <w:pPr>
        <w:ind w:left="8364" w:hanging="360"/>
      </w:pPr>
      <w:rPr>
        <w:rFonts w:hint="default"/>
        <w:lang w:val="en-US" w:eastAsia="en-US" w:bidi="ar-SA"/>
      </w:rPr>
    </w:lvl>
  </w:abstractNum>
  <w:abstractNum w:abstractNumId="23">
    <w:nsid w:val="00000018"/>
    <w:multiLevelType w:val="hybridMultilevel"/>
    <w:tmpl w:val="B8C878CC"/>
    <w:lvl w:ilvl="0" w:tplc="963295E4">
      <w:start w:val="1"/>
      <w:numFmt w:val="decimal"/>
      <w:lvlText w:val="[%1] "/>
      <w:lvlJc w:val="left"/>
      <w:pPr>
        <w:tabs>
          <w:tab w:val="left" w:pos="360"/>
        </w:tabs>
        <w:ind w:left="360" w:hanging="360"/>
      </w:pPr>
      <w:rPr>
        <w:rFonts w:ascii="Arial" w:hAnsi="Arial" w:hint="default"/>
        <w:b w:val="0"/>
        <w:i w:val="0"/>
        <w:sz w:val="20"/>
        <w:szCs w:val="20"/>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24">
    <w:nsid w:val="00000019"/>
    <w:multiLevelType w:val="hybridMultilevel"/>
    <w:tmpl w:val="7AA4584E"/>
    <w:lvl w:ilvl="0" w:tplc="6F5E08A8">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5">
    <w:nsid w:val="0000001A"/>
    <w:multiLevelType w:val="singleLevel"/>
    <w:tmpl w:val="F6C8F98A"/>
    <w:lvl w:ilvl="0">
      <w:start w:val="1"/>
      <w:numFmt w:val="decimal"/>
      <w:pStyle w:val="yange2"/>
      <w:lvlText w:val="%1."/>
      <w:lvlJc w:val="left"/>
      <w:pPr>
        <w:tabs>
          <w:tab w:val="left" w:pos="360"/>
        </w:tabs>
        <w:ind w:left="360" w:hanging="360"/>
      </w:pPr>
    </w:lvl>
  </w:abstractNum>
  <w:abstractNum w:abstractNumId="26">
    <w:nsid w:val="0000001B"/>
    <w:multiLevelType w:val="hybridMultilevel"/>
    <w:tmpl w:val="E53CC32E"/>
    <w:lvl w:ilvl="0" w:tplc="9264B2C6">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458"/>
        </w:tabs>
        <w:ind w:left="-458" w:hanging="360"/>
      </w:pPr>
    </w:lvl>
    <w:lvl w:ilvl="2" w:tplc="0409001B" w:tentative="1">
      <w:start w:val="1"/>
      <w:numFmt w:val="lowerRoman"/>
      <w:lvlText w:val="%3."/>
      <w:lvlJc w:val="right"/>
      <w:pPr>
        <w:tabs>
          <w:tab w:val="left" w:pos="262"/>
        </w:tabs>
        <w:ind w:left="262" w:hanging="180"/>
      </w:pPr>
    </w:lvl>
    <w:lvl w:ilvl="3" w:tplc="0409000F" w:tentative="1">
      <w:start w:val="1"/>
      <w:numFmt w:val="decimal"/>
      <w:lvlText w:val="%4."/>
      <w:lvlJc w:val="left"/>
      <w:pPr>
        <w:tabs>
          <w:tab w:val="left" w:pos="982"/>
        </w:tabs>
        <w:ind w:left="982" w:hanging="360"/>
      </w:pPr>
    </w:lvl>
    <w:lvl w:ilvl="4" w:tplc="04090019" w:tentative="1">
      <w:start w:val="1"/>
      <w:numFmt w:val="lowerLetter"/>
      <w:lvlText w:val="%5."/>
      <w:lvlJc w:val="left"/>
      <w:pPr>
        <w:tabs>
          <w:tab w:val="left" w:pos="1702"/>
        </w:tabs>
        <w:ind w:left="1702" w:hanging="360"/>
      </w:pPr>
    </w:lvl>
    <w:lvl w:ilvl="5" w:tplc="0409001B" w:tentative="1">
      <w:start w:val="1"/>
      <w:numFmt w:val="lowerRoman"/>
      <w:lvlText w:val="%6."/>
      <w:lvlJc w:val="right"/>
      <w:pPr>
        <w:tabs>
          <w:tab w:val="left" w:pos="2422"/>
        </w:tabs>
        <w:ind w:left="2422" w:hanging="180"/>
      </w:pPr>
    </w:lvl>
    <w:lvl w:ilvl="6" w:tplc="0409000F" w:tentative="1">
      <w:start w:val="1"/>
      <w:numFmt w:val="decimal"/>
      <w:lvlText w:val="%7."/>
      <w:lvlJc w:val="left"/>
      <w:pPr>
        <w:tabs>
          <w:tab w:val="left" w:pos="3142"/>
        </w:tabs>
        <w:ind w:left="3142" w:hanging="360"/>
      </w:pPr>
    </w:lvl>
    <w:lvl w:ilvl="7" w:tplc="04090019" w:tentative="1">
      <w:start w:val="1"/>
      <w:numFmt w:val="lowerLetter"/>
      <w:lvlText w:val="%8."/>
      <w:lvlJc w:val="left"/>
      <w:pPr>
        <w:tabs>
          <w:tab w:val="left" w:pos="3862"/>
        </w:tabs>
        <w:ind w:left="3862" w:hanging="360"/>
      </w:pPr>
    </w:lvl>
    <w:lvl w:ilvl="8" w:tplc="0409001B" w:tentative="1">
      <w:start w:val="1"/>
      <w:numFmt w:val="lowerRoman"/>
      <w:lvlText w:val="%9."/>
      <w:lvlJc w:val="right"/>
      <w:pPr>
        <w:tabs>
          <w:tab w:val="left" w:pos="4582"/>
        </w:tabs>
        <w:ind w:left="4582" w:hanging="180"/>
      </w:pPr>
    </w:lvl>
  </w:abstractNum>
  <w:abstractNum w:abstractNumId="27">
    <w:nsid w:val="0000001C"/>
    <w:multiLevelType w:val="hybridMultilevel"/>
    <w:tmpl w:val="51D0E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D"/>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hybridMultilevel"/>
    <w:tmpl w:val="78164C36"/>
    <w:lvl w:ilvl="0" w:tplc="0CD45BF4">
      <w:start w:val="1"/>
      <w:numFmt w:val="decimal"/>
      <w:lvlText w:val="%1."/>
      <w:lvlJc w:val="left"/>
      <w:pPr>
        <w:ind w:left="720" w:hanging="360"/>
      </w:pPr>
      <w:rPr>
        <w:rFonts w:ascii="Arial" w:hAnsi="Arial" w:cs="Arial"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F"/>
    <w:multiLevelType w:val="hybridMultilevel"/>
    <w:tmpl w:val="670A5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20"/>
    <w:multiLevelType w:val="singleLevel"/>
    <w:tmpl w:val="166470C2"/>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32">
    <w:nsid w:val="00000021"/>
    <w:multiLevelType w:val="hybridMultilevel"/>
    <w:tmpl w:val="464650DE"/>
    <w:lvl w:ilvl="0" w:tplc="F454E2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00000022"/>
    <w:multiLevelType w:val="hybridMultilevel"/>
    <w:tmpl w:val="73784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3"/>
    <w:multiLevelType w:val="hybridMultilevel"/>
    <w:tmpl w:val="CF2435EE"/>
    <w:lvl w:ilvl="0" w:tplc="72E067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0000024"/>
    <w:multiLevelType w:val="hybridMultilevel"/>
    <w:tmpl w:val="1BB0B0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9975F37"/>
    <w:multiLevelType w:val="hybridMultilevel"/>
    <w:tmpl w:val="4DFC2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96A5B4F"/>
    <w:multiLevelType w:val="multilevel"/>
    <w:tmpl w:val="3C0E39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20"/>
  </w:num>
  <w:num w:numId="3">
    <w:abstractNumId w:val="31"/>
  </w:num>
  <w:num w:numId="4">
    <w:abstractNumId w:val="18"/>
  </w:num>
  <w:num w:numId="5">
    <w:abstractNumId w:val="23"/>
  </w:num>
  <w:num w:numId="6">
    <w:abstractNumId w:val="26"/>
  </w:num>
  <w:num w:numId="7">
    <w:abstractNumId w:val="24"/>
  </w:num>
  <w:num w:numId="8">
    <w:abstractNumId w:val="21"/>
  </w:num>
  <w:num w:numId="9">
    <w:abstractNumId w:val="15"/>
  </w:num>
  <w:num w:numId="10">
    <w:abstractNumId w:val="4"/>
  </w:num>
  <w:num w:numId="11">
    <w:abstractNumId w:val="3"/>
  </w:num>
  <w:num w:numId="12">
    <w:abstractNumId w:val="11"/>
  </w:num>
  <w:num w:numId="13">
    <w:abstractNumId w:val="6"/>
  </w:num>
  <w:num w:numId="14">
    <w:abstractNumId w:val="13"/>
  </w:num>
  <w:num w:numId="15">
    <w:abstractNumId w:val="29"/>
  </w:num>
  <w:num w:numId="16">
    <w:abstractNumId w:val="14"/>
  </w:num>
  <w:num w:numId="17">
    <w:abstractNumId w:val="28"/>
  </w:num>
  <w:num w:numId="18">
    <w:abstractNumId w:val="22"/>
  </w:num>
  <w:num w:numId="19">
    <w:abstractNumId w:val="17"/>
  </w:num>
  <w:num w:numId="20">
    <w:abstractNumId w:val="33"/>
  </w:num>
  <w:num w:numId="21">
    <w:abstractNumId w:val="0"/>
  </w:num>
  <w:num w:numId="22">
    <w:abstractNumId w:val="8"/>
  </w:num>
  <w:num w:numId="23">
    <w:abstractNumId w:val="16"/>
  </w:num>
  <w:num w:numId="24">
    <w:abstractNumId w:val="30"/>
  </w:num>
  <w:num w:numId="25">
    <w:abstractNumId w:val="19"/>
  </w:num>
  <w:num w:numId="26">
    <w:abstractNumId w:val="12"/>
  </w:num>
  <w:num w:numId="27">
    <w:abstractNumId w:val="2"/>
  </w:num>
  <w:num w:numId="28">
    <w:abstractNumId w:val="1"/>
  </w:num>
  <w:num w:numId="29">
    <w:abstractNumId w:val="32"/>
  </w:num>
  <w:num w:numId="30">
    <w:abstractNumId w:val="27"/>
  </w:num>
  <w:num w:numId="31">
    <w:abstractNumId w:val="34"/>
  </w:num>
  <w:num w:numId="32">
    <w:abstractNumId w:val="35"/>
  </w:num>
  <w:num w:numId="33">
    <w:abstractNumId w:val="10"/>
  </w:num>
  <w:num w:numId="34">
    <w:abstractNumId w:val="9"/>
  </w:num>
  <w:num w:numId="35">
    <w:abstractNumId w:val="5"/>
  </w:num>
  <w:num w:numId="36">
    <w:abstractNumId w:val="7"/>
  </w:num>
  <w:num w:numId="37">
    <w:abstractNumId w:val="37"/>
  </w:num>
  <w:num w:numId="38">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wer">
    <w15:presenceInfo w15:providerId="None" w15:userId="Revi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8E2"/>
    <w:rsid w:val="000F0043"/>
    <w:rsid w:val="00222E53"/>
    <w:rsid w:val="00256407"/>
    <w:rsid w:val="00290366"/>
    <w:rsid w:val="00323856"/>
    <w:rsid w:val="00370206"/>
    <w:rsid w:val="003751AA"/>
    <w:rsid w:val="003A2DED"/>
    <w:rsid w:val="00420A1B"/>
    <w:rsid w:val="00491E3A"/>
    <w:rsid w:val="004B2E2B"/>
    <w:rsid w:val="005748E2"/>
    <w:rsid w:val="005E6CB7"/>
    <w:rsid w:val="00671445"/>
    <w:rsid w:val="006A0ED9"/>
    <w:rsid w:val="006F3CDF"/>
    <w:rsid w:val="00761E51"/>
    <w:rsid w:val="007C24BD"/>
    <w:rsid w:val="007E2FBC"/>
    <w:rsid w:val="008A1040"/>
    <w:rsid w:val="00957D42"/>
    <w:rsid w:val="009651E9"/>
    <w:rsid w:val="009E7374"/>
    <w:rsid w:val="00A27B21"/>
    <w:rsid w:val="00A6714B"/>
    <w:rsid w:val="00AB04E1"/>
    <w:rsid w:val="00B26EEF"/>
    <w:rsid w:val="00C5220F"/>
    <w:rsid w:val="00C75E42"/>
    <w:rsid w:val="00D300EA"/>
    <w:rsid w:val="00D45714"/>
    <w:rsid w:val="00D52C37"/>
    <w:rsid w:val="00DA5B39"/>
    <w:rsid w:val="00DB5F5C"/>
    <w:rsid w:val="00DB6F43"/>
    <w:rsid w:val="00DF7E54"/>
    <w:rsid w:val="00E057A6"/>
    <w:rsid w:val="00EA528C"/>
    <w:rsid w:val="00FF3767"/>
  </w:rsids>
  <m:mathPr>
    <m:mathFont m:val="Cambria Math"/>
    <m:brkBin m:val="before"/>
    <m:brkBinSub m:val="--"/>
    <m:smallFrac m:val="0"/>
    <m:dispDef/>
    <m:lMargin m:val="0"/>
    <m:rMargin m:val="0"/>
    <m:defJc m:val="centerGroup"/>
    <m:wrapIndent m:val="1440"/>
    <m:intLim m:val="subSup"/>
    <m:naryLim m:val="undOvr"/>
  </m:mathPr>
  <w:themeFontLang w:val="ms-MY"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8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rPr>
      <w:lang w:val="id-ID" w:eastAsia="id-ID"/>
    </w:rPr>
  </w:style>
  <w:style w:type="paragraph" w:styleId="Caption">
    <w:name w:val="caption"/>
    <w:basedOn w:val="Normal"/>
    <w:next w:val="Normal"/>
    <w:qFormat/>
    <w:pPr>
      <w:spacing w:line="480" w:lineRule="auto"/>
      <w:jc w:val="center"/>
    </w:pPr>
    <w:rPr>
      <w:i/>
      <w:iCs/>
    </w:rPr>
  </w:style>
  <w:style w:type="character" w:styleId="FootnoteReference">
    <w:name w:val="footnote reference"/>
    <w:basedOn w:val="DefaultParagraphFont"/>
    <w:rPr>
      <w:vertAlign w:val="superscript"/>
    </w:rPr>
  </w:style>
  <w:style w:type="paragraph" w:styleId="FootnoteText">
    <w:name w:val="footnote text"/>
    <w:basedOn w:val="Normal"/>
    <w:rPr>
      <w:rFonts w:cs="Traditional Arabic"/>
      <w:lang w:eastAsia="ko-KR"/>
    </w:r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styleId="Title">
    <w:name w:val="Title"/>
    <w:basedOn w:val="Normal"/>
    <w:qFormat/>
    <w:pPr>
      <w:jc w:val="center"/>
    </w:pPr>
    <w:rPr>
      <w:b/>
      <w:bCs/>
      <w:sz w:val="28"/>
      <w:szCs w:val="24"/>
      <w:lang w:val="id-ID"/>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paragraph" w:styleId="PlainText">
    <w:name w:val="Plain Text"/>
    <w:basedOn w:val="Normal"/>
    <w:rPr>
      <w:rFonts w:ascii="Courier New" w:eastAsia="BatangChe" w:hAnsi="Courier New"/>
      <w:sz w:val="24"/>
      <w:szCs w:val="24"/>
    </w:rPr>
  </w:style>
  <w:style w:type="character" w:customStyle="1" w:styleId="CharChar">
    <w:name w:val="Char Char"/>
    <w:basedOn w:val="DefaultParagraphFont"/>
    <w:rPr>
      <w:rFonts w:ascii="Courier New" w:eastAsia="BatangChe" w:hAnsi="Courier New"/>
      <w:sz w:val="24"/>
      <w:szCs w:val="24"/>
      <w:lang w:val="en-US" w:eastAsia="en-US"/>
    </w:rPr>
  </w:style>
  <w:style w:type="paragraph" w:styleId="Subtitle">
    <w:name w:val="Subtitle"/>
    <w:basedOn w:val="Normal"/>
    <w:qFormat/>
    <w:pPr>
      <w:jc w:val="center"/>
    </w:pPr>
    <w:rPr>
      <w:b/>
      <w:bCs/>
      <w:sz w:val="32"/>
      <w:szCs w:val="32"/>
      <w:lang w:val="en-GB"/>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link w:val="TextChar1"/>
    <w:pPr>
      <w:widowControl w:val="0"/>
      <w:autoSpaceDE w:val="0"/>
      <w:autoSpaceDN w:val="0"/>
      <w:spacing w:line="251"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basedOn w:val="DefaultParagraphFont"/>
    <w:qFormat/>
    <w:rPr>
      <w:rFonts w:cs="Times New Roman"/>
      <w:b/>
      <w:bCs/>
    </w:rPr>
  </w:style>
  <w:style w:type="paragraph" w:styleId="NormalWeb">
    <w:name w:val="Normal (Web)"/>
    <w:basedOn w:val="Normal"/>
    <w:pPr>
      <w:spacing w:before="100" w:beforeAutospacing="1" w:after="100" w:afterAutospacing="1"/>
    </w:pPr>
    <w:rPr>
      <w:sz w:val="24"/>
      <w:szCs w:val="24"/>
    </w:rPr>
  </w:style>
  <w:style w:type="character" w:styleId="Emphasis">
    <w:name w:val="Emphasis"/>
    <w:basedOn w:val="DefaultParagraphFont"/>
    <w:uiPriority w:val="20"/>
    <w:qFormat/>
    <w:rPr>
      <w:i/>
      <w:iCs/>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UnresolvedMention1">
    <w:name w:val="Unresolved Mention1"/>
    <w:basedOn w:val="DefaultParagraphFont"/>
    <w:uiPriority w:val="99"/>
    <w:rPr>
      <w:color w:val="605E5C"/>
      <w:shd w:val="clear" w:color="auto" w:fill="E1DFDD"/>
    </w:rPr>
  </w:style>
  <w:style w:type="character" w:customStyle="1" w:styleId="HeaderChar">
    <w:name w:val="Header Char"/>
    <w:link w:val="Header"/>
    <w:qFormat/>
  </w:style>
  <w:style w:type="character" w:styleId="FollowedHyperlink">
    <w:name w:val="FollowedHyperlink"/>
    <w:basedOn w:val="DefaultParagraphFont"/>
    <w:uiPriority w:val="99"/>
    <w:rPr>
      <w:color w:val="800080"/>
      <w:u w:val="single"/>
    </w:rPr>
  </w:style>
  <w:style w:type="character" w:customStyle="1" w:styleId="ListParagraphChar">
    <w:name w:val="List Paragraph Char"/>
    <w:link w:val="ListParagraph"/>
    <w:uiPriority w:val="34"/>
    <w:qFormat/>
    <w:rPr>
      <w:rFonts w:ascii="Calibri" w:hAnsi="Calibri"/>
      <w:sz w:val="22"/>
      <w:szCs w:val="22"/>
      <w:lang w:val="en-GB" w:eastAsia="en-GB"/>
    </w:rPr>
  </w:style>
  <w:style w:type="character" w:customStyle="1" w:styleId="FooterChar">
    <w:name w:val="Footer Char"/>
    <w:basedOn w:val="DefaultParagraphFont"/>
    <w:link w:val="Footer"/>
  </w:style>
  <w:style w:type="character" w:customStyle="1" w:styleId="TextChar1">
    <w:name w:val="Text Char1"/>
    <w:link w:val="Text"/>
    <w:rPr>
      <w:rFonts w:eastAsia="Batang"/>
      <w:lang w:eastAsia="ko-KR"/>
    </w:rPr>
  </w:style>
  <w:style w:type="character" w:customStyle="1" w:styleId="markedcontent">
    <w:name w:val="markedcontent"/>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rPr>
      <w:lang w:val="id-ID" w:eastAsia="id-ID"/>
    </w:rPr>
  </w:style>
  <w:style w:type="paragraph" w:styleId="Caption">
    <w:name w:val="caption"/>
    <w:basedOn w:val="Normal"/>
    <w:next w:val="Normal"/>
    <w:qFormat/>
    <w:pPr>
      <w:spacing w:line="480" w:lineRule="auto"/>
      <w:jc w:val="center"/>
    </w:pPr>
    <w:rPr>
      <w:i/>
      <w:iCs/>
    </w:rPr>
  </w:style>
  <w:style w:type="character" w:styleId="FootnoteReference">
    <w:name w:val="footnote reference"/>
    <w:basedOn w:val="DefaultParagraphFont"/>
    <w:rPr>
      <w:vertAlign w:val="superscript"/>
    </w:rPr>
  </w:style>
  <w:style w:type="paragraph" w:styleId="FootnoteText">
    <w:name w:val="footnote text"/>
    <w:basedOn w:val="Normal"/>
    <w:rPr>
      <w:rFonts w:cs="Traditional Arabic"/>
      <w:lang w:eastAsia="ko-KR"/>
    </w:r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styleId="Title">
    <w:name w:val="Title"/>
    <w:basedOn w:val="Normal"/>
    <w:qFormat/>
    <w:pPr>
      <w:jc w:val="center"/>
    </w:pPr>
    <w:rPr>
      <w:b/>
      <w:bCs/>
      <w:sz w:val="28"/>
      <w:szCs w:val="24"/>
      <w:lang w:val="id-ID"/>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paragraph" w:styleId="PlainText">
    <w:name w:val="Plain Text"/>
    <w:basedOn w:val="Normal"/>
    <w:rPr>
      <w:rFonts w:ascii="Courier New" w:eastAsia="BatangChe" w:hAnsi="Courier New"/>
      <w:sz w:val="24"/>
      <w:szCs w:val="24"/>
    </w:rPr>
  </w:style>
  <w:style w:type="character" w:customStyle="1" w:styleId="CharChar">
    <w:name w:val="Char Char"/>
    <w:basedOn w:val="DefaultParagraphFont"/>
    <w:rPr>
      <w:rFonts w:ascii="Courier New" w:eastAsia="BatangChe" w:hAnsi="Courier New"/>
      <w:sz w:val="24"/>
      <w:szCs w:val="24"/>
      <w:lang w:val="en-US" w:eastAsia="en-US"/>
    </w:rPr>
  </w:style>
  <w:style w:type="paragraph" w:styleId="Subtitle">
    <w:name w:val="Subtitle"/>
    <w:basedOn w:val="Normal"/>
    <w:qFormat/>
    <w:pPr>
      <w:jc w:val="center"/>
    </w:pPr>
    <w:rPr>
      <w:b/>
      <w:bCs/>
      <w:sz w:val="32"/>
      <w:szCs w:val="32"/>
      <w:lang w:val="en-GB"/>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link w:val="TextChar1"/>
    <w:pPr>
      <w:widowControl w:val="0"/>
      <w:autoSpaceDE w:val="0"/>
      <w:autoSpaceDN w:val="0"/>
      <w:spacing w:line="251"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basedOn w:val="DefaultParagraphFont"/>
    <w:qFormat/>
    <w:rPr>
      <w:rFonts w:cs="Times New Roman"/>
      <w:b/>
      <w:bCs/>
    </w:rPr>
  </w:style>
  <w:style w:type="paragraph" w:styleId="NormalWeb">
    <w:name w:val="Normal (Web)"/>
    <w:basedOn w:val="Normal"/>
    <w:pPr>
      <w:spacing w:before="100" w:beforeAutospacing="1" w:after="100" w:afterAutospacing="1"/>
    </w:pPr>
    <w:rPr>
      <w:sz w:val="24"/>
      <w:szCs w:val="24"/>
    </w:rPr>
  </w:style>
  <w:style w:type="character" w:styleId="Emphasis">
    <w:name w:val="Emphasis"/>
    <w:basedOn w:val="DefaultParagraphFont"/>
    <w:uiPriority w:val="20"/>
    <w:qFormat/>
    <w:rPr>
      <w:i/>
      <w:iCs/>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UnresolvedMention1">
    <w:name w:val="Unresolved Mention1"/>
    <w:basedOn w:val="DefaultParagraphFont"/>
    <w:uiPriority w:val="99"/>
    <w:rPr>
      <w:color w:val="605E5C"/>
      <w:shd w:val="clear" w:color="auto" w:fill="E1DFDD"/>
    </w:rPr>
  </w:style>
  <w:style w:type="character" w:customStyle="1" w:styleId="HeaderChar">
    <w:name w:val="Header Char"/>
    <w:link w:val="Header"/>
    <w:qFormat/>
  </w:style>
  <w:style w:type="character" w:styleId="FollowedHyperlink">
    <w:name w:val="FollowedHyperlink"/>
    <w:basedOn w:val="DefaultParagraphFont"/>
    <w:uiPriority w:val="99"/>
    <w:rPr>
      <w:color w:val="800080"/>
      <w:u w:val="single"/>
    </w:rPr>
  </w:style>
  <w:style w:type="character" w:customStyle="1" w:styleId="ListParagraphChar">
    <w:name w:val="List Paragraph Char"/>
    <w:link w:val="ListParagraph"/>
    <w:uiPriority w:val="34"/>
    <w:qFormat/>
    <w:rPr>
      <w:rFonts w:ascii="Calibri" w:hAnsi="Calibri"/>
      <w:sz w:val="22"/>
      <w:szCs w:val="22"/>
      <w:lang w:val="en-GB" w:eastAsia="en-GB"/>
    </w:rPr>
  </w:style>
  <w:style w:type="character" w:customStyle="1" w:styleId="FooterChar">
    <w:name w:val="Footer Char"/>
    <w:basedOn w:val="DefaultParagraphFont"/>
    <w:link w:val="Footer"/>
  </w:style>
  <w:style w:type="character" w:customStyle="1" w:styleId="TextChar1">
    <w:name w:val="Text Char1"/>
    <w:link w:val="Text"/>
    <w:rPr>
      <w:rFonts w:eastAsia="Batang"/>
      <w:lang w:eastAsia="ko-KR"/>
    </w:rPr>
  </w:style>
  <w:style w:type="character" w:customStyle="1" w:styleId="markedcontent">
    <w:name w:val="markedcontent"/>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121504">
      <w:bodyDiv w:val="1"/>
      <w:marLeft w:val="0"/>
      <w:marRight w:val="0"/>
      <w:marTop w:val="0"/>
      <w:marBottom w:val="0"/>
      <w:divBdr>
        <w:top w:val="none" w:sz="0" w:space="0" w:color="auto"/>
        <w:left w:val="none" w:sz="0" w:space="0" w:color="auto"/>
        <w:bottom w:val="none" w:sz="0" w:space="0" w:color="auto"/>
        <w:right w:val="none" w:sz="0" w:space="0" w:color="auto"/>
      </w:divBdr>
    </w:div>
    <w:div w:id="1496649299">
      <w:bodyDiv w:val="1"/>
      <w:marLeft w:val="0"/>
      <w:marRight w:val="0"/>
      <w:marTop w:val="0"/>
      <w:marBottom w:val="0"/>
      <w:divBdr>
        <w:top w:val="none" w:sz="0" w:space="0" w:color="auto"/>
        <w:left w:val="none" w:sz="0" w:space="0" w:color="auto"/>
        <w:bottom w:val="none" w:sz="0" w:space="0" w:color="auto"/>
        <w:right w:val="none" w:sz="0" w:space="0" w:color="auto"/>
      </w:divBdr>
    </w:div>
    <w:div w:id="1517841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isyariah.co.id" TargetMode="Externa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reativecommons.org/licenses/by-nc/4.0/" TargetMode="External"/><Relationship Id="rId14" Type="http://schemas.openxmlformats.org/officeDocument/2006/relationships/footer" Target="footer1.xml"/><Relationship Id="rId22" Type="http://schemas.microsoft.com/office/2011/relationships/commentsExtended" Target="commentsExtended.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C6BA3-07A0-4A45-B3C0-B943D09A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3991</Words>
  <Characters>22750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IJECE</vt:lpstr>
    </vt:vector>
  </TitlesOfParts>
  <Company>cairo</Company>
  <LinksUpToDate>false</LinksUpToDate>
  <CharactersWithSpaces>26688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IJECE</dc:title>
  <dc:creator>Hengki Tamando Sihotang</dc:creator>
  <cp:lastModifiedBy>ACER</cp:lastModifiedBy>
  <cp:revision>5</cp:revision>
  <cp:lastPrinted>2021-09-26T11:50:00Z</cp:lastPrinted>
  <dcterms:created xsi:type="dcterms:W3CDTF">2023-04-13T03:34:00Z</dcterms:created>
  <dcterms:modified xsi:type="dcterms:W3CDTF">2023-05-03T05:45:00Z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c487c4df-f500-3525-b505-3c798ee3ed7d</vt:lpwstr>
  </property>
  <property fmtid="{D5CDD505-2E9C-101B-9397-08002B2CF9AE}" pid="24" name="Mendeley Citation Style_1">
    <vt:lpwstr>http://www.zotero.org/styles/american-political-science-association</vt:lpwstr>
  </property>
  <property fmtid="{D5CDD505-2E9C-101B-9397-08002B2CF9AE}" pid="25" name="ICV">
    <vt:lpwstr>d6970a57ec544c97bba49f2e90393041</vt:lpwstr>
  </property>
</Properties>
</file>